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57A" w:rsidRPr="00EB257A" w:rsidRDefault="00EB257A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、审查范围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涉及人的生命科学和医学研究均应申报伦理审查。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包括各种类型的研究：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）取人的血液、组织、细胞进行基础研究。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）临床研究：前瞻性研究、回顾性研究；干预性研究、观察性研究；其他类型临床研究。</w:t>
      </w:r>
      <w:r w:rsidR="00B751C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例如回顾性收集临床数据分析结果发表文章、利用病人的影像检查</w:t>
      </w:r>
      <w:r w:rsidR="00B751C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/</w:t>
      </w:r>
      <w:r w:rsidR="00B751C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检验结果分析发表文章等。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）其他涉及人的生命科学和医学研究。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</w:p>
    <w:p w:rsidR="00EB257A" w:rsidRPr="00EB257A" w:rsidRDefault="00EB257A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2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、审查时间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</w:t>
      </w:r>
      <w:r w:rsidRPr="00EB257A">
        <w:rPr>
          <w:rFonts w:ascii="Helvetica" w:eastAsia="宋体" w:hAnsi="Helvetica" w:cs="宋体"/>
          <w:b/>
          <w:bCs/>
          <w:color w:val="E60000"/>
          <w:kern w:val="0"/>
          <w:sz w:val="22"/>
          <w:szCs w:val="30"/>
        </w:rPr>
        <w:t>伦理审查是前置性的，项目通过审查、拿到伦理批件后，才能开始研究。不能在研究开始后（有的甚至文章发表阶段）才申请伦理审查。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）按照相关办法要求，伦理审查的时间要求为项目受理后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天，可理解为项目形式审查通过之后的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天，不是项目提交后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天。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</w:p>
    <w:p w:rsidR="00EB257A" w:rsidRPr="00EB257A" w:rsidRDefault="00EB257A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3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、批件时效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）伦理批件有时效性，有效期内未开展的，伦理批件自动作废。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）已开展的，要按照批件上的跟踪审查频率提交进展报告。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进展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报告通过后，领取新有效期的伦理批件，项目才能继续开展。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）项目结束后，应向伦理委员会提交结题报告。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</w:p>
    <w:p w:rsidR="00EB257A" w:rsidRPr="00EB257A" w:rsidRDefault="00EB257A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4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、项目变更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）研究方案、知情同意等所有审查材料有任何变更，应向伦理委员会报告。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）安全性事件等应向伦理委员会报告。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</w:p>
    <w:p w:rsidR="00EB257A" w:rsidRPr="00EB257A" w:rsidRDefault="00EB257A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5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、伦理流程</w:t>
      </w:r>
    </w:p>
    <w:p w:rsidR="00EB257A" w:rsidRP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）对于公开招标、经统一审批、有立项证明的</w:t>
      </w:r>
      <w:r w:rsidRPr="00EB257A">
        <w:rPr>
          <w:rFonts w:ascii="Helvetica" w:eastAsia="宋体" w:hAnsi="Helvetica" w:cs="宋体" w:hint="eastAsia"/>
          <w:b/>
          <w:bCs/>
          <w:color w:val="FF0000"/>
          <w:kern w:val="0"/>
          <w:sz w:val="22"/>
          <w:szCs w:val="30"/>
          <w:u w:val="single"/>
        </w:rPr>
        <w:t>纵向</w:t>
      </w:r>
      <w:r w:rsidRPr="00EB257A">
        <w:rPr>
          <w:rFonts w:ascii="Helvetica" w:eastAsia="宋体" w:hAnsi="Helvetica" w:cs="宋体"/>
          <w:b/>
          <w:bCs/>
          <w:color w:val="FF0000"/>
          <w:kern w:val="0"/>
          <w:sz w:val="22"/>
          <w:szCs w:val="30"/>
          <w:u w:val="single"/>
        </w:rPr>
        <w:t>课题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，可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按文件清单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提交相关佐证申请伦理已审查。</w:t>
      </w:r>
    </w:p>
    <w:p w:rsid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</w:t>
      </w:r>
      <w:r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横向课题和研究者发起的临床研究，请</w:t>
      </w:r>
      <w:r w:rsidR="0079446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科教处备案、拿到备案表后提交伦理。</w:t>
      </w:r>
    </w:p>
    <w:p w:rsidR="00794467" w:rsidRDefault="00794467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794467">
        <w:rPr>
          <w:rFonts w:ascii="Helvetica" w:eastAsia="宋体" w:hAnsi="Helvetica" w:cs="宋体"/>
          <w:noProof/>
          <w:color w:val="606266"/>
          <w:kern w:val="0"/>
          <w:sz w:val="15"/>
          <w:szCs w:val="20"/>
        </w:rPr>
        <w:drawing>
          <wp:inline distT="0" distB="0" distL="0" distR="0">
            <wp:extent cx="5273554" cy="1411834"/>
            <wp:effectExtent l="0" t="0" r="3810" b="0"/>
            <wp:docPr id="1" name="图片 1" descr="D:\documents\WeChat Files\wjgyy808\FileStorage\Fav\Temp\33605c39\res\4ac0e536cf0b17745e28f6d3bd243d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WeChat Files\wjgyy808\FileStorage\Fav\Temp\33605c39\res\4ac0e536cf0b17745e28f6d3bd243dc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534"/>
                    <a:stretch/>
                  </pic:blipFill>
                  <pic:spPr bwMode="auto">
                    <a:xfrm>
                      <a:off x="0" y="0"/>
                      <a:ext cx="5274310" cy="141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6F7A" w:rsidRDefault="00316F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（</w:t>
      </w:r>
      <w:r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</w:t>
      </w:r>
      <w:r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）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提交伦理的材料清单、模板请参考该压缩包相应文件。</w:t>
      </w:r>
    </w:p>
    <w:p w:rsidR="00D8674A" w:rsidRPr="00EB257A" w:rsidRDefault="00D8674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（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4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）准备好相应材料后，电子版发送至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tfch</w:t>
      </w:r>
      <w:r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_ethic@126.com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，注意查收邮件回复。待所有审查流程都完成后，提交纸质版签字原件换取批件。</w:t>
      </w:r>
    </w:p>
    <w:p w:rsid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</w:p>
    <w:p w:rsidR="00E00C07" w:rsidRPr="00EB257A" w:rsidRDefault="00E00C07" w:rsidP="00E00C07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6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4"/>
          <w:szCs w:val="36"/>
          <w:u w:val="single"/>
        </w:rPr>
        <w:t>审查费用</w:t>
      </w:r>
    </w:p>
    <w:p w:rsidR="00E00C07" w:rsidRDefault="00E00C07" w:rsidP="00E00C07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00C0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研究者发起的临床研究项目由资助方支付伦理审查费：初始审查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5000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元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/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项。</w:t>
      </w:r>
    </w:p>
    <w:p w:rsidR="00E00C07" w:rsidRDefault="00E00C07" w:rsidP="00E00C07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横向课题由资助方支付伦理审查费：</w:t>
      </w:r>
      <w:r w:rsidRPr="00E00C0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初始审查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3000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元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/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项。</w:t>
      </w:r>
    </w:p>
    <w:p w:rsidR="00E00C07" w:rsidRDefault="00E00C07" w:rsidP="00E00C07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lastRenderedPageBreak/>
        <w:t>干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/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体细胞临床研究项目由资助方支付：</w:t>
      </w:r>
      <w:r w:rsidRPr="00E00C0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初始审查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3000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元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/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项。</w:t>
      </w:r>
    </w:p>
    <w:p w:rsidR="00E00C07" w:rsidRDefault="00E00C07" w:rsidP="00E00C07">
      <w:pPr>
        <w:widowControl/>
        <w:shd w:val="clear" w:color="auto" w:fill="FFFFFF"/>
        <w:jc w:val="left"/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</w:pP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收费项目的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修正案审查、年度跟踪审查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3000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元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/</w:t>
      </w: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项</w:t>
      </w:r>
    </w:p>
    <w:p w:rsidR="00E00C07" w:rsidRDefault="00E00C07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 w:rsidRPr="00E00C07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纵向课题科研项目、本院研究者发起的无资助方的项目伦理审查不收取费用。</w:t>
      </w:r>
    </w:p>
    <w:p w:rsidR="00E00C07" w:rsidRPr="00E00C07" w:rsidRDefault="00E00C07" w:rsidP="00EB257A">
      <w:pPr>
        <w:widowControl/>
        <w:shd w:val="clear" w:color="auto" w:fill="FFFFFF"/>
        <w:jc w:val="left"/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</w:pPr>
      <w:r w:rsidRPr="00E00C0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项目递交时请一并提交</w:t>
      </w:r>
      <w:r w:rsidRPr="00E00C0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word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缴费通知，缴费后由财务处开具发票。</w:t>
      </w:r>
      <w:bookmarkStart w:id="0" w:name="_GoBack"/>
      <w:bookmarkEnd w:id="0"/>
    </w:p>
    <w:p w:rsidR="00E00C07" w:rsidRPr="00E00C07" w:rsidRDefault="00E00C07" w:rsidP="00EB257A">
      <w:pPr>
        <w:widowControl/>
        <w:shd w:val="clear" w:color="auto" w:fill="FFFFFF"/>
        <w:jc w:val="left"/>
        <w:rPr>
          <w:rFonts w:ascii="Helvetica" w:eastAsia="宋体" w:hAnsi="Helvetica" w:cs="宋体" w:hint="eastAsia"/>
          <w:color w:val="606266"/>
          <w:kern w:val="0"/>
          <w:sz w:val="15"/>
          <w:szCs w:val="20"/>
        </w:rPr>
      </w:pPr>
    </w:p>
    <w:p w:rsidR="00EB257A" w:rsidRPr="00EB257A" w:rsidRDefault="00E00C07" w:rsidP="00EB257A">
      <w:pPr>
        <w:widowControl/>
        <w:shd w:val="clear" w:color="auto" w:fill="FFFFFF"/>
        <w:jc w:val="left"/>
        <w:outlineLvl w:val="1"/>
        <w:rPr>
          <w:rFonts w:ascii="Helvetica" w:eastAsia="宋体" w:hAnsi="Helvetica" w:cs="宋体"/>
          <w:color w:val="606266"/>
          <w:kern w:val="0"/>
          <w:sz w:val="24"/>
          <w:szCs w:val="36"/>
        </w:rPr>
      </w:pPr>
      <w:r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7</w:t>
      </w:r>
      <w:r w:rsidR="00EB257A"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、</w:t>
      </w:r>
      <w:r w:rsidR="00794467">
        <w:rPr>
          <w:rFonts w:ascii="Helvetica" w:eastAsia="宋体" w:hAnsi="Helvetica" w:cs="宋体" w:hint="eastAsia"/>
          <w:b/>
          <w:bCs/>
          <w:color w:val="606266"/>
          <w:kern w:val="0"/>
          <w:sz w:val="24"/>
          <w:szCs w:val="36"/>
          <w:u w:val="single"/>
        </w:rPr>
        <w:t>科研伦理</w:t>
      </w:r>
      <w:r w:rsidR="00EB257A" w:rsidRPr="00EB257A">
        <w:rPr>
          <w:rFonts w:ascii="Helvetica" w:eastAsia="宋体" w:hAnsi="Helvetica" w:cs="宋体"/>
          <w:b/>
          <w:bCs/>
          <w:color w:val="606266"/>
          <w:kern w:val="0"/>
          <w:sz w:val="24"/>
          <w:szCs w:val="36"/>
          <w:u w:val="single"/>
        </w:rPr>
        <w:t>委员会联系方式</w:t>
      </w:r>
    </w:p>
    <w:p w:rsidR="00EB257A" w:rsidRDefault="00EB257A" w:rsidP="00EB257A">
      <w:pPr>
        <w:widowControl/>
        <w:shd w:val="clear" w:color="auto" w:fill="FFFFFF"/>
        <w:jc w:val="left"/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</w:pP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联系电话：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23628843</w:t>
      </w:r>
      <w:r w:rsidR="00D8674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 xml:space="preserve">      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邮箱：</w:t>
      </w:r>
      <w:r w:rsidR="00794467"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tfch_ethic</w:t>
      </w:r>
      <w:r w:rsidRPr="00EB257A"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@126.com</w:t>
      </w:r>
    </w:p>
    <w:p w:rsidR="00D8674A" w:rsidRPr="00EB257A" w:rsidRDefault="00D8674A" w:rsidP="00EB257A">
      <w:pPr>
        <w:widowControl/>
        <w:shd w:val="clear" w:color="auto" w:fill="FFFFFF"/>
        <w:jc w:val="left"/>
        <w:rPr>
          <w:rFonts w:ascii="Helvetica" w:eastAsia="宋体" w:hAnsi="Helvetica" w:cs="宋体"/>
          <w:color w:val="606266"/>
          <w:kern w:val="0"/>
          <w:sz w:val="15"/>
          <w:szCs w:val="20"/>
        </w:rPr>
      </w:pP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办公地点：水西一楼门诊健康广场（医院大楼里，老年友好门诊，吉野家对面）</w:t>
      </w:r>
      <w:r>
        <w:rPr>
          <w:rFonts w:ascii="Helvetica" w:eastAsia="宋体" w:hAnsi="Helvetica" w:cs="宋体" w:hint="eastAsia"/>
          <w:b/>
          <w:bCs/>
          <w:color w:val="606266"/>
          <w:kern w:val="0"/>
          <w:sz w:val="22"/>
          <w:szCs w:val="30"/>
        </w:rPr>
        <w:t>F</w:t>
      </w:r>
      <w:r>
        <w:rPr>
          <w:rFonts w:ascii="Helvetica" w:eastAsia="宋体" w:hAnsi="Helvetica" w:cs="宋体"/>
          <w:b/>
          <w:bCs/>
          <w:color w:val="606266"/>
          <w:kern w:val="0"/>
          <w:sz w:val="22"/>
          <w:szCs w:val="30"/>
        </w:rPr>
        <w:t>118</w:t>
      </w:r>
    </w:p>
    <w:p w:rsidR="000E67BF" w:rsidRPr="00EB257A" w:rsidRDefault="000E67BF">
      <w:pPr>
        <w:rPr>
          <w:sz w:val="16"/>
        </w:rPr>
      </w:pPr>
    </w:p>
    <w:sectPr w:rsidR="000E67BF" w:rsidRPr="00EB2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80"/>
    <w:rsid w:val="000E67BF"/>
    <w:rsid w:val="00165606"/>
    <w:rsid w:val="001E1080"/>
    <w:rsid w:val="00263CE7"/>
    <w:rsid w:val="00316F7A"/>
    <w:rsid w:val="00435E36"/>
    <w:rsid w:val="00794467"/>
    <w:rsid w:val="007A44B2"/>
    <w:rsid w:val="007E029A"/>
    <w:rsid w:val="00894A86"/>
    <w:rsid w:val="008D18DC"/>
    <w:rsid w:val="00AD106A"/>
    <w:rsid w:val="00B751C7"/>
    <w:rsid w:val="00BB5432"/>
    <w:rsid w:val="00D8674A"/>
    <w:rsid w:val="00DB38A0"/>
    <w:rsid w:val="00E00C07"/>
    <w:rsid w:val="00E3556C"/>
    <w:rsid w:val="00EB257A"/>
    <w:rsid w:val="00EC5A67"/>
    <w:rsid w:val="00F3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CABF4"/>
  <w15:chartTrackingRefBased/>
  <w15:docId w15:val="{C665D059-0606-4C90-BB10-B76084C5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B257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B257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EB257A"/>
    <w:rPr>
      <w:b/>
      <w:bCs/>
    </w:rPr>
  </w:style>
  <w:style w:type="paragraph" w:styleId="a4">
    <w:name w:val="Normal (Web)"/>
    <w:basedOn w:val="a"/>
    <w:uiPriority w:val="99"/>
    <w:semiHidden/>
    <w:unhideWhenUsed/>
    <w:rsid w:val="00EB25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巩欣媛</dc:creator>
  <cp:keywords/>
  <dc:description/>
  <cp:lastModifiedBy>巩欣媛</cp:lastModifiedBy>
  <cp:revision>6</cp:revision>
  <dcterms:created xsi:type="dcterms:W3CDTF">2025-10-15T08:33:00Z</dcterms:created>
  <dcterms:modified xsi:type="dcterms:W3CDTF">2025-10-15T08:54:00Z</dcterms:modified>
</cp:coreProperties>
</file>