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9E607">
      <w:pPr>
        <w:adjustRightInd w:val="0"/>
        <w:snapToGrid w:val="0"/>
        <w:spacing w:line="700" w:lineRule="exact"/>
        <w:jc w:val="left"/>
        <w:rPr>
          <w:rFonts w:hint="eastAsia" w:ascii="方正小标宋简体" w:hAnsi="方正小标宋简体" w:eastAsia="方正小标宋简体" w:cs="方正小标宋简体"/>
          <w:sz w:val="44"/>
          <w:szCs w:val="44"/>
        </w:rPr>
      </w:pPr>
      <w:r>
        <w:rPr>
          <w:rFonts w:hint="eastAsia" w:ascii="黑体" w:hAnsi="黑体" w:eastAsia="黑体" w:cs="黑体"/>
          <w:color w:val="000000" w:themeColor="text1"/>
          <w:sz w:val="32"/>
          <w:szCs w:val="32"/>
        </w:rPr>
        <w:t>附件</w:t>
      </w:r>
    </w:p>
    <w:p w14:paraId="7256607A">
      <w:pPr>
        <w:adjustRightInd w:val="0"/>
        <w:snapToGrid w:val="0"/>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天津市第一中心医院</w:t>
      </w:r>
    </w:p>
    <w:p w14:paraId="74240C6D">
      <w:pPr>
        <w:adjustRightInd w:val="0"/>
        <w:snapToGrid w:val="0"/>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智慧医院网络安全与信息化建设管理委员会</w:t>
      </w:r>
    </w:p>
    <w:p w14:paraId="5E31E480">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工作制度</w:t>
      </w:r>
    </w:p>
    <w:p w14:paraId="3C25367A">
      <w:pPr>
        <w:adjustRightInd w:val="0"/>
        <w:snapToGrid w:val="0"/>
        <w:spacing w:line="700" w:lineRule="exact"/>
        <w:jc w:val="center"/>
        <w:rPr>
          <w:rFonts w:ascii="方正小标宋简体" w:hAnsi="方正小标宋简体" w:eastAsia="方正小标宋简体" w:cs="方正小标宋简体"/>
          <w:sz w:val="44"/>
          <w:szCs w:val="44"/>
        </w:rPr>
      </w:pPr>
    </w:p>
    <w:p w14:paraId="44FC2BD8">
      <w:pPr>
        <w:pStyle w:val="3"/>
        <w:spacing w:beforeLines="50" w:afterLines="50" w:line="560" w:lineRule="exact"/>
        <w:jc w:val="center"/>
        <w:rPr>
          <w:rFonts w:ascii="黑体" w:hAnsi="黑体" w:eastAsia="黑体"/>
          <w:b w:val="0"/>
          <w:bCs w:val="0"/>
        </w:rPr>
      </w:pPr>
      <w:r>
        <w:rPr>
          <w:rFonts w:hint="eastAsia" w:ascii="黑体" w:hAnsi="黑体" w:eastAsia="黑体"/>
          <w:b w:val="0"/>
          <w:bCs w:val="0"/>
        </w:rPr>
        <w:t>第一章 总则</w:t>
      </w:r>
    </w:p>
    <w:p w14:paraId="7561EA26">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为加强医院</w:t>
      </w:r>
      <w:r>
        <w:rPr>
          <w:rFonts w:hint="eastAsia" w:ascii="仿宋" w:hAnsi="仿宋" w:eastAsia="仿宋" w:cs="仿宋"/>
          <w:snapToGrid w:val="0"/>
          <w:kern w:val="0"/>
          <w:sz w:val="32"/>
          <w:szCs w:val="32"/>
        </w:rPr>
        <w:t>智慧医院网络安全与信息化建设项目管理</w:t>
      </w:r>
      <w:r>
        <w:rPr>
          <w:rFonts w:hint="eastAsia" w:ascii="仿宋" w:hAnsi="仿宋" w:eastAsia="仿宋" w:cs="仿宋"/>
          <w:sz w:val="32"/>
          <w:szCs w:val="32"/>
        </w:rPr>
        <w:t>，设立智慧医院网络安全与信息化建设管理委员会（以下简称“委员会”）作为医院内部信息化建设管理工作的组织、协调、审议与调处机构</w:t>
      </w:r>
      <w:r>
        <w:rPr>
          <w:rFonts w:hint="eastAsia" w:ascii="仿宋_GB2312" w:hAnsi="仿宋_GB2312" w:eastAsia="仿宋" w:cs="仿宋_GB2312"/>
          <w:sz w:val="32"/>
          <w:szCs w:val="32"/>
        </w:rPr>
        <w:t>。</w:t>
      </w:r>
    </w:p>
    <w:p w14:paraId="05AC3DC7">
      <w:pPr>
        <w:spacing w:line="56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w:t>
      </w:r>
      <w:r>
        <w:rPr>
          <w:rFonts w:hint="eastAsia" w:ascii="仿宋" w:hAnsi="仿宋" w:eastAsia="仿宋" w:cs="Times New Roman"/>
          <w:sz w:val="32"/>
          <w:szCs w:val="32"/>
        </w:rPr>
        <w:t>委员会</w:t>
      </w:r>
      <w:r>
        <w:rPr>
          <w:rFonts w:hint="eastAsia" w:ascii="仿宋_GB2312" w:hAnsi="仿宋_GB2312" w:eastAsia="仿宋" w:cs="仿宋_GB2312"/>
          <w:sz w:val="32"/>
          <w:szCs w:val="32"/>
        </w:rPr>
        <w:t>在履职中应遵守</w:t>
      </w:r>
      <w:r>
        <w:rPr>
          <w:rFonts w:hint="eastAsia" w:ascii="仿宋" w:hAnsi="仿宋" w:eastAsia="仿宋" w:cs="Times New Roman"/>
          <w:sz w:val="32"/>
          <w:szCs w:val="32"/>
        </w:rPr>
        <w:t>国家有关信息化工作的法律、法规、上级主管单位有关规定</w:t>
      </w:r>
      <w:r>
        <w:rPr>
          <w:rFonts w:hint="eastAsia" w:ascii="仿宋_GB2312" w:hAnsi="仿宋_GB2312" w:eastAsia="仿宋" w:cs="仿宋_GB2312"/>
          <w:sz w:val="32"/>
          <w:szCs w:val="32"/>
        </w:rPr>
        <w:t>，依法合规</w:t>
      </w:r>
      <w:r>
        <w:rPr>
          <w:rFonts w:hint="eastAsia" w:ascii="仿宋" w:hAnsi="仿宋" w:eastAsia="仿宋" w:cs="Times New Roman"/>
          <w:sz w:val="32"/>
          <w:szCs w:val="32"/>
        </w:rPr>
        <w:t>提高委员会科学决策水平。</w:t>
      </w:r>
    </w:p>
    <w:p w14:paraId="30494627">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w:t>
      </w:r>
      <w:r>
        <w:rPr>
          <w:rFonts w:hint="eastAsia" w:ascii="仿宋" w:hAnsi="仿宋" w:eastAsia="仿宋" w:cs="Times New Roman"/>
          <w:sz w:val="32"/>
          <w:szCs w:val="32"/>
        </w:rPr>
        <w:t>委员会根据国务院、天津市人民政府上位法规，确定智慧医院建设管理办公室作为信息化项目统筹统建的管理部门，信息处作为信息化项目实施与保障部门，</w:t>
      </w:r>
      <w:r>
        <w:rPr>
          <w:rFonts w:hint="eastAsia" w:ascii="仿宋" w:hAnsi="仿宋" w:eastAsia="仿宋" w:cs="Times New Roman"/>
          <w:sz w:val="32"/>
          <w:szCs w:val="32"/>
          <w:lang w:eastAsia="zh-CN"/>
        </w:rPr>
        <w:t>采购管理办公室</w:t>
      </w:r>
      <w:r>
        <w:rPr>
          <w:rFonts w:hint="eastAsia" w:ascii="仿宋" w:hAnsi="仿宋" w:eastAsia="仿宋" w:cs="Times New Roman"/>
          <w:sz w:val="32"/>
          <w:szCs w:val="32"/>
        </w:rPr>
        <w:t>作为采购管理与执行部门。上述部门应该按照行政法规规定的部门职能履职尽责，委员会依据部门职能进行决策、调处，确保采购与实施部门的行为符合管理部门的合规要求，并形成相互监督的权力运行模式。</w:t>
      </w:r>
    </w:p>
    <w:p w14:paraId="1D90FD21">
      <w:pPr>
        <w:pStyle w:val="3"/>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b w:val="0"/>
          <w:bCs w:val="0"/>
        </w:rPr>
        <w:t xml:space="preserve">第二章 </w:t>
      </w:r>
      <w:r>
        <w:rPr>
          <w:rFonts w:hint="eastAsia" w:ascii="黑体" w:hAnsi="黑体" w:eastAsia="黑体" w:cs="仿宋"/>
          <w:b w:val="0"/>
          <w:bCs w:val="0"/>
        </w:rPr>
        <w:t>委员会成员</w:t>
      </w:r>
    </w:p>
    <w:p w14:paraId="6B6B3F03">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委员会由11名人员组成：</w:t>
      </w:r>
    </w:p>
    <w:p w14:paraId="711839C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主任委员由医院院长担任；</w:t>
      </w:r>
    </w:p>
    <w:p w14:paraId="20232D63">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执行主任委员</w:t>
      </w:r>
      <w:r>
        <w:rPr>
          <w:rFonts w:hint="eastAsia" w:ascii="仿宋" w:hAnsi="仿宋" w:eastAsia="仿宋" w:cs="仿宋"/>
          <w:sz w:val="32"/>
          <w:szCs w:val="32"/>
        </w:rPr>
        <w:t>由分管信息化工作的分管副院长担任；</w:t>
      </w:r>
    </w:p>
    <w:p w14:paraId="465CD5F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副主任委员由智慧医院建设管理办公室主任担任；</w:t>
      </w:r>
    </w:p>
    <w:p w14:paraId="3B7B87F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委员由信息处、医务处、门诊办公室、护理部、财务物价处、设备物资处、科教处、运营管理科负责人、院聘智慧医院共建项目专家库主席组成。(9人）</w:t>
      </w:r>
    </w:p>
    <w:p w14:paraId="64C6ECB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委员会下设办公室，办公室主任由院聘智慧医院共建项目专家库主席担任，副主任由信息处负责人和</w:t>
      </w:r>
      <w:r>
        <w:rPr>
          <w:rFonts w:hint="eastAsia" w:ascii="仿宋" w:hAnsi="仿宋" w:eastAsia="仿宋" w:cs="Times New Roman"/>
          <w:sz w:val="32"/>
          <w:szCs w:val="32"/>
        </w:rPr>
        <w:t>智慧医院建设管理办公室</w:t>
      </w:r>
      <w:r>
        <w:rPr>
          <w:rFonts w:hint="eastAsia" w:ascii="仿宋" w:hAnsi="仿宋" w:eastAsia="仿宋" w:cs="仿宋"/>
          <w:sz w:val="32"/>
          <w:szCs w:val="32"/>
        </w:rPr>
        <w:t>（以下简称“智医办”）</w:t>
      </w:r>
      <w:r>
        <w:rPr>
          <w:rFonts w:hint="eastAsia" w:ascii="仿宋" w:hAnsi="仿宋" w:eastAsia="仿宋" w:cs="Times New Roman"/>
          <w:sz w:val="32"/>
          <w:szCs w:val="32"/>
        </w:rPr>
        <w:t>副主任</w:t>
      </w:r>
      <w:r>
        <w:rPr>
          <w:rFonts w:hint="eastAsia" w:ascii="仿宋" w:hAnsi="仿宋" w:eastAsia="仿宋" w:cs="仿宋"/>
          <w:sz w:val="32"/>
          <w:szCs w:val="32"/>
        </w:rPr>
        <w:t>担任。</w:t>
      </w:r>
    </w:p>
    <w:p w14:paraId="354A7761">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委员会下设网络安全与信息化建设项目技术工作组（以下简称“网信工作组”），负责信息化公共基础设施、常规信息化设备采购等类别的项目管理以及医院信息化年度预算管理工作；下设智慧医院建设项目管理工作组（以下简称“智医工作组”），负责涉及智慧医院系统顶层规划、应用软件、AI应用、系统维保等类别的项目管理。网信工作组组长由分管信息化工作院领导担任，智医工作组组长由智慧医院建设管理办公室主任担任。</w:t>
      </w:r>
    </w:p>
    <w:p w14:paraId="4BD18726">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网信工作组成员由信息处技术人员、院聘智慧医院共建项目专家库专家组成。智医工作组成员由院聘智慧医院共建项目专家库专家组成。</w:t>
      </w:r>
    </w:p>
    <w:p w14:paraId="15E7E1E1">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会议通知抄送纪委办公室和审计处，上述部门可自行决定是否派人列席会议。如遇重大报告或决策事项，可申请纪委办公室、审计处负责人参加或列席委员会会议。</w:t>
      </w:r>
    </w:p>
    <w:p w14:paraId="4096CB55">
      <w:pPr>
        <w:pStyle w:val="3"/>
        <w:spacing w:beforeLines="50" w:afterLines="50" w:line="560" w:lineRule="exact"/>
        <w:jc w:val="center"/>
        <w:rPr>
          <w:rFonts w:ascii="黑体" w:hAnsi="黑体" w:eastAsia="黑体"/>
          <w:b w:val="0"/>
          <w:bCs w:val="0"/>
        </w:rPr>
      </w:pPr>
      <w:r>
        <w:rPr>
          <w:rFonts w:hint="eastAsia" w:ascii="黑体" w:hAnsi="黑体" w:eastAsia="黑体"/>
          <w:b w:val="0"/>
          <w:bCs w:val="0"/>
        </w:rPr>
        <w:t>第三章 委员会议事范围</w:t>
      </w:r>
    </w:p>
    <w:p w14:paraId="4850BB24">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委员会议事范围</w:t>
      </w:r>
    </w:p>
    <w:p w14:paraId="63E9DBFC">
      <w:pPr>
        <w:pStyle w:val="16"/>
        <w:numPr>
          <w:ilvl w:val="0"/>
          <w:numId w:val="1"/>
        </w:numPr>
        <w:snapToGrid w:val="0"/>
        <w:spacing w:line="560" w:lineRule="exact"/>
        <w:ind w:left="0" w:firstLine="640"/>
        <w:rPr>
          <w:rFonts w:ascii="仿宋" w:hAnsi="仿宋" w:eastAsia="仿宋"/>
          <w:sz w:val="32"/>
          <w:szCs w:val="32"/>
        </w:rPr>
      </w:pPr>
      <w:r>
        <w:rPr>
          <w:rFonts w:hint="eastAsia" w:ascii="仿宋" w:hAnsi="仿宋" w:eastAsia="仿宋"/>
          <w:sz w:val="32"/>
          <w:szCs w:val="32"/>
        </w:rPr>
        <w:t>审议智慧医院建设、医院网络安全和信息化项目管理的长期发展规划、年度工作计划、制度安排等相关重大事项，通过后提交院决策机构审定。</w:t>
      </w:r>
    </w:p>
    <w:p w14:paraId="2714403F">
      <w:pPr>
        <w:pStyle w:val="16"/>
        <w:numPr>
          <w:ilvl w:val="0"/>
          <w:numId w:val="1"/>
        </w:numPr>
        <w:snapToGrid w:val="0"/>
        <w:spacing w:line="560" w:lineRule="exact"/>
        <w:ind w:left="0" w:firstLine="640"/>
        <w:rPr>
          <w:rFonts w:ascii="仿宋" w:hAnsi="仿宋" w:eastAsia="仿宋"/>
          <w:sz w:val="32"/>
          <w:szCs w:val="32"/>
        </w:rPr>
      </w:pPr>
      <w:r>
        <w:rPr>
          <w:rFonts w:hint="eastAsia" w:ascii="仿宋" w:hAnsi="仿宋" w:eastAsia="仿宋"/>
          <w:sz w:val="32"/>
          <w:szCs w:val="32"/>
        </w:rPr>
        <w:t>集中审议由</w:t>
      </w:r>
      <w:r>
        <w:rPr>
          <w:rFonts w:hint="eastAsia" w:ascii="仿宋" w:hAnsi="仿宋" w:eastAsia="仿宋" w:cs="仿宋"/>
          <w:sz w:val="32"/>
          <w:szCs w:val="32"/>
        </w:rPr>
        <w:t>智医办负责前置审核通过的</w:t>
      </w:r>
      <w:r>
        <w:rPr>
          <w:rFonts w:hint="eastAsia" w:ascii="仿宋" w:hAnsi="仿宋" w:eastAsia="仿宋"/>
          <w:sz w:val="32"/>
          <w:szCs w:val="32"/>
        </w:rPr>
        <w:t>智慧医院建设相关项目</w:t>
      </w:r>
      <w:r>
        <w:rPr>
          <w:rFonts w:hint="eastAsia" w:ascii="仿宋" w:hAnsi="仿宋" w:eastAsia="仿宋" w:cs="仿宋"/>
          <w:sz w:val="32"/>
          <w:szCs w:val="32"/>
        </w:rPr>
        <w:t>，以及“网信工作组”负责技术审查通过的其他信息化建设项目。</w:t>
      </w:r>
    </w:p>
    <w:p w14:paraId="4E493E42">
      <w:pPr>
        <w:pStyle w:val="16"/>
        <w:numPr>
          <w:ilvl w:val="0"/>
          <w:numId w:val="1"/>
        </w:numPr>
        <w:snapToGrid w:val="0"/>
        <w:spacing w:line="560" w:lineRule="exact"/>
        <w:ind w:left="0" w:firstLine="640"/>
        <w:rPr>
          <w:rFonts w:ascii="仿宋" w:hAnsi="仿宋" w:eastAsia="仿宋"/>
          <w:sz w:val="32"/>
          <w:szCs w:val="32"/>
        </w:rPr>
      </w:pPr>
      <w:r>
        <w:rPr>
          <w:rFonts w:hint="eastAsia" w:ascii="仿宋" w:hAnsi="仿宋" w:eastAsia="仿宋"/>
          <w:sz w:val="32"/>
          <w:szCs w:val="32"/>
        </w:rPr>
        <w:t>协调、调处院内相关职能部门有关智慧医院建设、网络安全和信息化建设项目中出现的问题与责任，推动项目落地与实施。</w:t>
      </w:r>
    </w:p>
    <w:p w14:paraId="6C2D50DF">
      <w:pPr>
        <w:pStyle w:val="16"/>
        <w:numPr>
          <w:ilvl w:val="0"/>
          <w:numId w:val="1"/>
        </w:numPr>
        <w:snapToGrid w:val="0"/>
        <w:spacing w:line="560" w:lineRule="exact"/>
        <w:ind w:left="0" w:firstLine="640"/>
        <w:rPr>
          <w:rFonts w:ascii="仿宋" w:hAnsi="仿宋" w:eastAsia="仿宋"/>
          <w:sz w:val="32"/>
          <w:szCs w:val="32"/>
        </w:rPr>
      </w:pPr>
      <w:r>
        <w:rPr>
          <w:rFonts w:hint="eastAsia" w:ascii="仿宋" w:hAnsi="仿宋" w:eastAsia="仿宋"/>
          <w:sz w:val="32"/>
          <w:szCs w:val="32"/>
        </w:rPr>
        <w:t>审议重要、重大项目(200万元及以上）的决策、立项、资金预算和资源配置方案，通过后提交第三方同行专家论证实施方案，后续提交院决策机构审定；</w:t>
      </w:r>
    </w:p>
    <w:p w14:paraId="12647073">
      <w:pPr>
        <w:pStyle w:val="16"/>
        <w:numPr>
          <w:ilvl w:val="0"/>
          <w:numId w:val="1"/>
        </w:numPr>
        <w:snapToGrid w:val="0"/>
        <w:spacing w:line="560" w:lineRule="exact"/>
        <w:ind w:left="0" w:firstLine="640"/>
        <w:rPr>
          <w:rFonts w:ascii="仿宋" w:hAnsi="仿宋" w:eastAsia="仿宋"/>
          <w:sz w:val="32"/>
          <w:szCs w:val="32"/>
        </w:rPr>
      </w:pPr>
      <w:r>
        <w:rPr>
          <w:rFonts w:hint="eastAsia" w:ascii="仿宋" w:hAnsi="仿宋" w:eastAsia="仿宋" w:cs="仿宋"/>
          <w:sz w:val="32"/>
          <w:szCs w:val="32"/>
        </w:rPr>
        <w:t>审议重大信息化项目采购方式、流程效率、代理人来源合规性、代理人能力；依据信息化建设管理法规</w:t>
      </w:r>
      <w:r>
        <w:rPr>
          <w:rFonts w:hint="eastAsia" w:ascii="仿宋" w:hAnsi="仿宋" w:eastAsia="仿宋"/>
          <w:sz w:val="32"/>
          <w:szCs w:val="32"/>
        </w:rPr>
        <w:t>审议、调处</w:t>
      </w:r>
      <w:r>
        <w:rPr>
          <w:rFonts w:hint="eastAsia" w:ascii="仿宋" w:hAnsi="仿宋" w:eastAsia="仿宋" w:cs="仿宋"/>
          <w:sz w:val="32"/>
          <w:szCs w:val="32"/>
        </w:rPr>
        <w:t>项目管理部门、实施部门、采购部门的工作问题与责任</w:t>
      </w:r>
      <w:r>
        <w:rPr>
          <w:rFonts w:hint="eastAsia" w:ascii="仿宋" w:hAnsi="仿宋" w:eastAsia="仿宋"/>
          <w:sz w:val="32"/>
          <w:szCs w:val="32"/>
        </w:rPr>
        <w:t>；</w:t>
      </w:r>
    </w:p>
    <w:p w14:paraId="0B43DAD6">
      <w:pPr>
        <w:pStyle w:val="16"/>
        <w:numPr>
          <w:ilvl w:val="0"/>
          <w:numId w:val="1"/>
        </w:numPr>
        <w:snapToGrid w:val="0"/>
        <w:spacing w:line="560" w:lineRule="exact"/>
        <w:ind w:left="0" w:firstLine="640"/>
        <w:rPr>
          <w:rFonts w:ascii="仿宋" w:hAnsi="仿宋" w:eastAsia="仿宋"/>
          <w:sz w:val="32"/>
          <w:szCs w:val="32"/>
        </w:rPr>
      </w:pPr>
      <w:r>
        <w:rPr>
          <w:rFonts w:hint="eastAsia" w:ascii="仿宋" w:hAnsi="仿宋" w:eastAsia="仿宋"/>
          <w:sz w:val="32"/>
          <w:szCs w:val="32"/>
        </w:rPr>
        <w:t>其他需要集体研究的项目管理事项。</w:t>
      </w:r>
    </w:p>
    <w:p w14:paraId="292AD788">
      <w:pPr>
        <w:pStyle w:val="3"/>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cs="仿宋"/>
          <w:b w:val="0"/>
          <w:bCs w:val="0"/>
        </w:rPr>
        <w:t>第</w:t>
      </w:r>
      <w:r>
        <w:rPr>
          <w:rFonts w:hint="eastAsia" w:ascii="黑体" w:hAnsi="黑体" w:eastAsia="黑体"/>
          <w:b w:val="0"/>
          <w:bCs w:val="0"/>
        </w:rPr>
        <w:t>四</w:t>
      </w:r>
      <w:r>
        <w:rPr>
          <w:rFonts w:hint="eastAsia" w:ascii="黑体" w:hAnsi="黑体" w:eastAsia="黑体" w:cs="仿宋"/>
          <w:b w:val="0"/>
          <w:bCs w:val="0"/>
        </w:rPr>
        <w:t>章 委员会会议制度</w:t>
      </w:r>
    </w:p>
    <w:p w14:paraId="6C98CD49">
      <w:pPr>
        <w:spacing w:line="560" w:lineRule="exact"/>
        <w:ind w:firstLine="643" w:firstLineChars="200"/>
        <w:rPr>
          <w:rFonts w:ascii="仿宋_GB2312" w:hAnsi="仿宋_GB2312" w:eastAsia="仿宋" w:cs="仿宋_GB2312"/>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w:t>
      </w:r>
      <w:r>
        <w:rPr>
          <w:rFonts w:hint="eastAsia" w:ascii="仿宋_GB2312" w:hAnsi="仿宋_GB2312" w:eastAsia="仿宋" w:cs="仿宋_GB2312"/>
          <w:sz w:val="32"/>
          <w:szCs w:val="32"/>
        </w:rPr>
        <w:t>委员会会议由事项紧迫程度决定临时会议召开频度，定期会议分别每半年一次。定期会议讨论工作计划、制度安排等重大事项，临时会议在规定的议事范围内履职。委员会会议由主任委员召集和主持。主任委员不能履行职务的，</w:t>
      </w:r>
      <w:r>
        <w:rPr>
          <w:rFonts w:hint="eastAsia" w:ascii="仿宋_GB2312" w:hAnsi="仿宋_GB2312" w:eastAsia="仿宋" w:cs="仿宋_GB2312"/>
          <w:sz w:val="32"/>
          <w:szCs w:val="32"/>
          <w:lang w:val="en-US" w:eastAsia="zh-CN"/>
        </w:rPr>
        <w:t>委托执行主任委员或</w:t>
      </w:r>
      <w:r>
        <w:rPr>
          <w:rFonts w:hint="eastAsia" w:ascii="仿宋_GB2312" w:hAnsi="仿宋_GB2312" w:eastAsia="仿宋" w:cs="仿宋_GB2312"/>
          <w:sz w:val="32"/>
          <w:szCs w:val="32"/>
        </w:rPr>
        <w:t>副主任委员召集主持或由过半数的委员共同推举一名委员召集和主持。有以下情况之一时，应当召开临时委员会会议：</w:t>
      </w:r>
    </w:p>
    <w:p w14:paraId="6446A448">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（一）主任委员认为有必要时；</w:t>
      </w:r>
    </w:p>
    <w:p w14:paraId="1CCAC653">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（二）三分之一以上委员提议时。</w:t>
      </w:r>
    </w:p>
    <w:p w14:paraId="1DB8D975">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召开委员会会议应当在会议召开1日前，由委员会办公室通知全体委员。</w:t>
      </w:r>
    </w:p>
    <w:p w14:paraId="0B28BC1F">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第十一条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提议召开委员会临时会议的，应向委员会办公室提交提议。提议应包含下列内容：</w:t>
      </w:r>
    </w:p>
    <w:p w14:paraId="77BC77BB">
      <w:pPr>
        <w:spacing w:line="560" w:lineRule="exact"/>
        <w:ind w:left="640"/>
        <w:rPr>
          <w:rFonts w:ascii="仿宋_GB2312" w:hAnsi="仿宋_GB2312" w:eastAsia="仿宋" w:cs="仿宋_GB2312"/>
          <w:sz w:val="32"/>
          <w:szCs w:val="32"/>
        </w:rPr>
      </w:pPr>
      <w:r>
        <w:rPr>
          <w:rFonts w:hint="eastAsia" w:ascii="仿宋_GB2312" w:hAnsi="仿宋_GB2312" w:eastAsia="仿宋" w:cs="仿宋_GB2312"/>
          <w:sz w:val="32"/>
          <w:szCs w:val="32"/>
        </w:rPr>
        <w:t>（一）提议人的姓名；</w:t>
      </w:r>
    </w:p>
    <w:p w14:paraId="1A41AAA4">
      <w:pPr>
        <w:spacing w:line="560" w:lineRule="exact"/>
        <w:ind w:left="640"/>
        <w:rPr>
          <w:rFonts w:eastAsia="仿宋"/>
        </w:rPr>
      </w:pPr>
      <w:r>
        <w:rPr>
          <w:rFonts w:hint="eastAsia" w:ascii="仿宋_GB2312" w:hAnsi="仿宋_GB2312" w:eastAsia="仿宋" w:cs="仿宋_GB2312"/>
          <w:sz w:val="32"/>
          <w:szCs w:val="32"/>
        </w:rPr>
        <w:t>（二）提议召开会议的时间；</w:t>
      </w:r>
    </w:p>
    <w:p w14:paraId="0D3F9173">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（三）提议理由或提案，提案内容应在委员会议事范围内，与提案有关的材料一并提交。</w:t>
      </w:r>
    </w:p>
    <w:p w14:paraId="131F0C87">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第十二条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委员会办公室收到的召开委员会临时会议的提议（理由或提案），应于当日提报主任委员。</w:t>
      </w:r>
    </w:p>
    <w:p w14:paraId="197BA49C">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主任委员认为召开临时会议的提议理由不充分或者提案内容不恰当、不充分的，可以要求提议人修改或者补充。</w:t>
      </w:r>
    </w:p>
    <w:p w14:paraId="456FF214">
      <w:pPr>
        <w:spacing w:line="560" w:lineRule="exact"/>
        <w:ind w:firstLine="643" w:firstLineChars="200"/>
        <w:rPr>
          <w:rFonts w:ascii="仿宋" w:hAnsi="仿宋" w:eastAsia="仿宋" w:cs="仿宋"/>
          <w:sz w:val="32"/>
          <w:szCs w:val="32"/>
        </w:rPr>
      </w:pPr>
      <w:r>
        <w:rPr>
          <w:rFonts w:hint="eastAsia" w:ascii="仿宋_GB2312" w:hAnsi="仿宋_GB2312" w:eastAsia="仿宋" w:cs="仿宋_GB2312"/>
          <w:b/>
          <w:bCs/>
          <w:sz w:val="32"/>
          <w:szCs w:val="32"/>
        </w:rPr>
        <w:t>第十三条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制订委员会会议议题由委员会办公室负责，发布会议通知和组织会务工作由信息处/智医办负责。</w:t>
      </w:r>
    </w:p>
    <w:p w14:paraId="65DBEA80">
      <w:pPr>
        <w:pStyle w:val="3"/>
        <w:widowControl/>
        <w:spacing w:before="0" w:after="0" w:line="560" w:lineRule="exact"/>
        <w:jc w:val="center"/>
        <w:rPr>
          <w:rFonts w:ascii="黑体" w:hAnsi="宋体" w:eastAsia="黑体" w:cs="仿宋"/>
          <w:b w:val="0"/>
          <w:bCs w:val="0"/>
        </w:rPr>
      </w:pPr>
      <w:r>
        <w:rPr>
          <w:rFonts w:hint="eastAsia" w:ascii="黑体" w:hAnsi="宋体" w:eastAsia="黑体" w:cs="仿宋"/>
          <w:b w:val="0"/>
          <w:bCs w:val="0"/>
        </w:rPr>
        <w:t>第五章 委员会会议的召开</w:t>
      </w:r>
    </w:p>
    <w:p w14:paraId="1C7321F8">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第十四条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委员会会议一般应以现场会议的形式召开。遇特殊情况，经主任委员同意，可采用视频会议、电话会议或者会同签署书面意见等方式作出决议。</w:t>
      </w:r>
    </w:p>
    <w:p w14:paraId="5AFDA397">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汇同书面签署意见方式是指制成书面议案材料分别送交各位委员，由委员签署书面意见的方式召开委员会会议。委员应在收到书面议案材料之日起三个工作日内发表个人意见，并以政务邮箱或医院OA邮箱方式送达信息处。信息处根据委员意见汇总并做好记录。</w:t>
      </w:r>
    </w:p>
    <w:p w14:paraId="357087A3">
      <w:pPr>
        <w:pStyle w:val="3"/>
        <w:widowControl/>
        <w:spacing w:before="0" w:after="0" w:line="560" w:lineRule="exact"/>
        <w:jc w:val="center"/>
        <w:rPr>
          <w:rFonts w:ascii="黑体" w:hAnsi="宋体" w:eastAsia="黑体" w:cs="仿宋"/>
          <w:b w:val="0"/>
          <w:bCs w:val="0"/>
        </w:rPr>
      </w:pPr>
      <w:r>
        <w:rPr>
          <w:rFonts w:hint="eastAsia" w:ascii="黑体" w:hAnsi="宋体" w:eastAsia="黑体" w:cs="仿宋"/>
          <w:b w:val="0"/>
          <w:bCs w:val="0"/>
        </w:rPr>
        <w:t>第六章 委员会</w:t>
      </w:r>
      <w:r>
        <w:rPr>
          <w:rFonts w:hint="eastAsia" w:ascii="黑体" w:hAnsi="宋体" w:eastAsia="黑体" w:cs="仿宋_GB2312"/>
          <w:b w:val="0"/>
          <w:bCs w:val="0"/>
        </w:rPr>
        <w:t>会议的审议</w:t>
      </w:r>
    </w:p>
    <w:p w14:paraId="28EE024D">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第十五条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委员会会议应由二分之一及以上的委员亲自出席方可举行。遇特殊情况，委员不能亲自出席委员会时，应向主任委员请假，得到许可后可后续以书面形式发表个人意见。</w:t>
      </w:r>
    </w:p>
    <w:p w14:paraId="336B5B95">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第十六条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在审议有关议题时，如遇议题相关内容难以明晰且足以影响委员作出正确判断的，由会议主持人决定暂缓审议，并对所应补充和完善的内容提出明确要求，待进一步论证后，决定是否提交下次会议审议。</w:t>
      </w:r>
    </w:p>
    <w:p w14:paraId="5BBE2468">
      <w:pPr>
        <w:pStyle w:val="3"/>
        <w:widowControl/>
        <w:spacing w:before="0" w:after="0" w:line="560" w:lineRule="exact"/>
        <w:jc w:val="center"/>
        <w:rPr>
          <w:rFonts w:ascii="黑体" w:hAnsi="宋体" w:eastAsia="黑体" w:cs="仿宋"/>
          <w:b w:val="0"/>
          <w:bCs w:val="0"/>
        </w:rPr>
      </w:pPr>
      <w:r>
        <w:rPr>
          <w:rFonts w:hint="eastAsia" w:ascii="黑体" w:hAnsi="宋体" w:eastAsia="黑体" w:cs="仿宋"/>
          <w:b w:val="0"/>
          <w:bCs w:val="0"/>
        </w:rPr>
        <w:t>第七章  委员会</w:t>
      </w:r>
      <w:r>
        <w:rPr>
          <w:rFonts w:hint="eastAsia" w:ascii="黑体" w:hAnsi="宋体" w:eastAsia="黑体" w:cs="仿宋_GB2312"/>
          <w:b w:val="0"/>
          <w:bCs w:val="0"/>
        </w:rPr>
        <w:t>会议决议的形成</w:t>
      </w:r>
    </w:p>
    <w:p w14:paraId="32E7F037">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第十七条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委员会采取民主集中制议事规则，会议主持人应及时提请委员对讨论议题依法依规发表个人意见。经充分讨论后形成会议决议。</w:t>
      </w:r>
    </w:p>
    <w:p w14:paraId="59DFE53D">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第十八条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如遇分歧较大的议题且法规层面未明晰的，主任委员可以选择留待下次讨论或技术问题</w:t>
      </w:r>
      <w:r>
        <w:rPr>
          <w:rFonts w:hint="eastAsia" w:ascii="仿宋_GB2312" w:hAnsi="仿宋_GB2312" w:eastAsia="仿宋" w:cs="仿宋_GB2312"/>
          <w:sz w:val="32"/>
          <w:szCs w:val="32"/>
          <w:lang w:val="en-US" w:eastAsia="zh-CN"/>
        </w:rPr>
        <w:t>按照天津市第一中心医院《专家论证办法》</w:t>
      </w:r>
      <w:r>
        <w:rPr>
          <w:rFonts w:hint="eastAsia" w:ascii="仿宋_GB2312" w:hAnsi="仿宋_GB2312" w:eastAsia="仿宋" w:cs="仿宋_GB2312"/>
          <w:sz w:val="32"/>
          <w:szCs w:val="32"/>
        </w:rPr>
        <w:t>委托同行专家论证的方式形成决议。</w:t>
      </w:r>
    </w:p>
    <w:p w14:paraId="68793FE4">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第十九条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对于法理依据不足、规制执行有明显缺陷的议题，委员可以在可信举证的基础上要求否决议题。不能否决的，委员会办公室应给予备案记录。</w:t>
      </w:r>
    </w:p>
    <w:p w14:paraId="52BE53FD">
      <w:pPr>
        <w:pStyle w:val="3"/>
        <w:widowControl/>
        <w:spacing w:before="0" w:after="0" w:line="560" w:lineRule="exact"/>
        <w:jc w:val="center"/>
        <w:rPr>
          <w:rFonts w:ascii="黑体" w:hAnsi="宋体" w:eastAsia="黑体" w:cs="仿宋"/>
          <w:b w:val="0"/>
          <w:bCs w:val="0"/>
        </w:rPr>
      </w:pPr>
      <w:r>
        <w:rPr>
          <w:rFonts w:hint="eastAsia" w:ascii="黑体" w:hAnsi="宋体" w:eastAsia="黑体" w:cs="仿宋"/>
          <w:b w:val="0"/>
          <w:bCs w:val="0"/>
        </w:rPr>
        <w:t>第八章  委员会</w:t>
      </w:r>
      <w:r>
        <w:rPr>
          <w:rFonts w:hint="eastAsia" w:ascii="黑体" w:hAnsi="宋体" w:eastAsia="黑体" w:cs="仿宋_GB2312"/>
          <w:b w:val="0"/>
          <w:bCs w:val="0"/>
        </w:rPr>
        <w:t>会议的记录</w:t>
      </w:r>
    </w:p>
    <w:p w14:paraId="54106A31">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第二十条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委员会会议应对所议事项进行会议记录。会议记录应当包括但不限于以下内容：</w:t>
      </w:r>
    </w:p>
    <w:p w14:paraId="47CE5B67">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（一）会议召开的日期、地点、召集和主持人姓名；</w:t>
      </w:r>
    </w:p>
    <w:p w14:paraId="268EC35B">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（二）出席会议的委员姓名以及委托出席委员会的人员姓名；</w:t>
      </w:r>
    </w:p>
    <w:p w14:paraId="3C798DDA">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（三）会议议程、议题；</w:t>
      </w:r>
    </w:p>
    <w:p w14:paraId="2336AEF0">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（四）委员发言要点及法规依据；</w:t>
      </w:r>
    </w:p>
    <w:p w14:paraId="5FF7BCDB">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（五）每一决议事项的审议方式和结果；</w:t>
      </w:r>
    </w:p>
    <w:p w14:paraId="667BAA22">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（六）会议其他相关内容；</w:t>
      </w:r>
    </w:p>
    <w:p w14:paraId="3FA2E73E">
      <w:pPr>
        <w:spacing w:line="560" w:lineRule="exact"/>
        <w:ind w:firstLine="640" w:firstLineChars="200"/>
        <w:rPr>
          <w:rFonts w:ascii="仿宋_GB2312" w:hAnsi="仿宋_GB2312" w:eastAsia="仿宋" w:cs="仿宋_GB2312"/>
          <w:sz w:val="32"/>
          <w:szCs w:val="32"/>
        </w:rPr>
      </w:pPr>
      <w:r>
        <w:rPr>
          <w:rFonts w:hint="eastAsia" w:ascii="仿宋_GB2312" w:hAnsi="仿宋_GB2312" w:eastAsia="仿宋" w:cs="仿宋_GB2312"/>
          <w:sz w:val="32"/>
          <w:szCs w:val="32"/>
        </w:rPr>
        <w:t>（七）会议记录人姓名。</w:t>
      </w:r>
    </w:p>
    <w:p w14:paraId="1A6EA0CA">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第二十一条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委员会决议、会议记录、委托人的授权委托书及委员会会议材料均应存档并永久保存。</w:t>
      </w:r>
    </w:p>
    <w:p w14:paraId="1B954ED5">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第二十二条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委员应当妥善保管会议文件。委员及会议列席人员对会议文件和会议审议的内容负有保密的责任和义务。</w:t>
      </w:r>
    </w:p>
    <w:p w14:paraId="57DF1035">
      <w:pPr>
        <w:pStyle w:val="3"/>
        <w:widowControl/>
        <w:spacing w:before="0" w:after="0" w:line="560" w:lineRule="exact"/>
        <w:jc w:val="center"/>
        <w:rPr>
          <w:rFonts w:ascii="黑体" w:hAnsi="宋体" w:eastAsia="黑体" w:cs="仿宋"/>
          <w:b w:val="0"/>
          <w:bCs w:val="0"/>
        </w:rPr>
      </w:pPr>
      <w:r>
        <w:rPr>
          <w:rFonts w:hint="eastAsia" w:ascii="黑体" w:hAnsi="宋体" w:eastAsia="黑体" w:cs="仿宋"/>
          <w:b w:val="0"/>
          <w:bCs w:val="0"/>
        </w:rPr>
        <w:t xml:space="preserve">第九章  </w:t>
      </w:r>
      <w:r>
        <w:rPr>
          <w:rFonts w:hint="eastAsia" w:ascii="黑体" w:hAnsi="宋体" w:eastAsia="黑体" w:cs="仿宋_GB2312"/>
          <w:b w:val="0"/>
          <w:bCs w:val="0"/>
        </w:rPr>
        <w:t>附则</w:t>
      </w:r>
    </w:p>
    <w:p w14:paraId="6F2CF537">
      <w:pPr>
        <w:spacing w:line="560" w:lineRule="exact"/>
        <w:ind w:firstLine="643" w:firstLineChars="200"/>
        <w:rPr>
          <w:rFonts w:ascii="仿宋_GB2312" w:hAnsi="仿宋_GB2312" w:eastAsia="仿宋" w:cs="仿宋_GB2312"/>
          <w:sz w:val="32"/>
          <w:szCs w:val="32"/>
        </w:rPr>
      </w:pPr>
      <w:r>
        <w:rPr>
          <w:rFonts w:hint="eastAsia" w:ascii="仿宋_GB2312" w:hAnsi="仿宋_GB2312" w:eastAsia="仿宋" w:cs="仿宋_GB2312"/>
          <w:b/>
          <w:bCs/>
          <w:sz w:val="32"/>
          <w:szCs w:val="32"/>
        </w:rPr>
        <w:t>第</w:t>
      </w:r>
      <w:r>
        <w:rPr>
          <w:rFonts w:hint="eastAsia" w:ascii="仿宋_GB2312" w:hAnsi="仿宋_GB2312" w:eastAsia="仿宋" w:cs="仿宋_GB2312"/>
          <w:b/>
          <w:bCs/>
          <w:sz w:val="32"/>
          <w:szCs w:val="32"/>
        </w:rPr>
        <w:t>二十三条</w:t>
      </w:r>
      <w:r>
        <w:rPr>
          <w:rFonts w:hint="eastAsia" w:ascii="仿宋_GB2312" w:hAnsi="仿宋_GB2312" w:eastAsia="仿宋" w:cs="仿宋_GB2312"/>
          <w:sz w:val="32"/>
          <w:szCs w:val="32"/>
          <w:lang w:val="en-US" w:eastAsia="zh-CN"/>
        </w:rPr>
        <w:t xml:space="preserve"> </w:t>
      </w:r>
      <w:r>
        <w:rPr>
          <w:rFonts w:hint="eastAsia" w:ascii="仿宋" w:hAnsi="仿宋" w:eastAsia="仿宋" w:cs="仿宋"/>
          <w:sz w:val="32"/>
          <w:szCs w:val="32"/>
        </w:rPr>
        <w:t>本工作制度未尽事宜，按照国家信息化建设管理的有关法律、法规、上级主管单位有关规定执行。</w:t>
      </w:r>
    </w:p>
    <w:p w14:paraId="76128B23">
      <w:pPr>
        <w:adjustRightInd w:val="0"/>
        <w:snapToGrid w:val="0"/>
        <w:spacing w:line="700" w:lineRule="exact"/>
        <w:ind w:firstLine="643"/>
        <w:jc w:val="left"/>
        <w:rPr>
          <w:rFonts w:ascii="仿宋" w:hAnsi="仿宋" w:eastAsia="仿宋" w:cs="仿宋"/>
          <w:sz w:val="32"/>
          <w:szCs w:val="32"/>
        </w:rPr>
      </w:pPr>
      <w:bookmarkStart w:id="0" w:name="_GoBack"/>
      <w:r>
        <w:rPr>
          <w:rFonts w:hint="eastAsia" w:ascii="仿宋_GB2312" w:hAnsi="仿宋_GB2312" w:eastAsia="仿宋" w:cs="仿宋_GB2312"/>
          <w:b/>
          <w:bCs/>
          <w:sz w:val="32"/>
          <w:szCs w:val="32"/>
        </w:rPr>
        <w:t>第二十四条</w:t>
      </w:r>
      <w:bookmarkEnd w:id="0"/>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本工作制度由</w:t>
      </w:r>
      <w:r>
        <w:rPr>
          <w:rFonts w:hint="eastAsia" w:ascii="仿宋" w:hAnsi="仿宋" w:eastAsia="仿宋" w:cs="仿宋"/>
          <w:sz w:val="32"/>
          <w:szCs w:val="32"/>
        </w:rPr>
        <w:t>委员会办公室</w:t>
      </w:r>
      <w:r>
        <w:rPr>
          <w:rFonts w:hint="eastAsia" w:ascii="仿宋_GB2312" w:hAnsi="仿宋_GB2312" w:eastAsia="仿宋" w:cs="仿宋_GB2312"/>
          <w:sz w:val="32"/>
          <w:szCs w:val="32"/>
        </w:rPr>
        <w:t>负责解释，自发布之日起实施。</w:t>
      </w:r>
      <w:r>
        <w:rPr>
          <w:rFonts w:hint="eastAsia" w:ascii="仿宋" w:hAnsi="仿宋" w:eastAsia="仿宋" w:cs="仿宋"/>
          <w:sz w:val="32"/>
          <w:szCs w:val="32"/>
        </w:rPr>
        <w:t>原《天津市第一中心医院智慧医院网络安全与信息化建设项目管理委员会工作制度（试行）》《天津市第一中心医院网络安全和信息化建设项目管理制度》（院信制字〔2025〕4号）、《天津市第一中心医院网络安全和信息化管理办法》（院信制字〔2024〕6号）同时废止。</w:t>
      </w:r>
    </w:p>
    <w:p w14:paraId="79CC7E00">
      <w:pPr>
        <w:widowControl/>
        <w:spacing w:line="560" w:lineRule="exact"/>
        <w:jc w:val="left"/>
        <w:rPr>
          <w:rFonts w:ascii="仿宋" w:hAnsi="仿宋" w:eastAsia="仿宋" w:cs="仿宋"/>
          <w:sz w:val="32"/>
          <w:szCs w:val="32"/>
        </w:rPr>
      </w:pPr>
      <w:r>
        <w:rPr>
          <w:rFonts w:hint="eastAsia" w:ascii="仿宋" w:hAnsi="仿宋" w:eastAsia="仿宋" w:cs="仿宋"/>
          <w:sz w:val="32"/>
          <w:szCs w:val="32"/>
        </w:rPr>
        <w:br w:type="page"/>
      </w:r>
    </w:p>
    <w:p w14:paraId="39BD4352">
      <w:pPr>
        <w:spacing w:line="560" w:lineRule="exact"/>
        <w:rPr>
          <w:rFonts w:ascii="黑体" w:hAnsi="黑体" w:eastAsia="黑体" w:cs="黑体"/>
          <w:sz w:val="32"/>
          <w:szCs w:val="32"/>
        </w:rPr>
      </w:pPr>
      <w:r>
        <w:rPr>
          <w:rFonts w:hint="eastAsia" w:ascii="黑体" w:hAnsi="黑体" w:eastAsia="黑体" w:cs="黑体"/>
          <w:sz w:val="32"/>
          <w:szCs w:val="32"/>
        </w:rPr>
        <w:t>附件1-1</w:t>
      </w:r>
    </w:p>
    <w:p w14:paraId="4B4CFCC5">
      <w:pPr>
        <w:spacing w:line="560" w:lineRule="exact"/>
        <w:rPr>
          <w:rFonts w:ascii="仿宋" w:hAnsi="仿宋" w:eastAsia="仿宋" w:cs="仿宋"/>
          <w:sz w:val="32"/>
          <w:szCs w:val="32"/>
        </w:rPr>
      </w:pPr>
    </w:p>
    <w:p w14:paraId="352D861A">
      <w:pPr>
        <w:spacing w:line="560" w:lineRule="exact"/>
        <w:jc w:val="center"/>
        <w:rPr>
          <w:sz w:val="44"/>
          <w:szCs w:val="44"/>
        </w:rPr>
      </w:pPr>
      <w:r>
        <w:rPr>
          <w:rFonts w:hint="eastAsia"/>
          <w:sz w:val="44"/>
          <w:szCs w:val="44"/>
        </w:rPr>
        <w:t>授权书</w:t>
      </w:r>
    </w:p>
    <w:p w14:paraId="2FD8B377">
      <w:pPr>
        <w:spacing w:line="560" w:lineRule="exact"/>
        <w:jc w:val="center"/>
        <w:rPr>
          <w:sz w:val="44"/>
          <w:szCs w:val="44"/>
        </w:rPr>
      </w:pPr>
    </w:p>
    <w:p w14:paraId="52BE2C4D">
      <w:pPr>
        <w:spacing w:line="560" w:lineRule="exact"/>
        <w:rPr>
          <w:rFonts w:ascii="仿宋" w:hAnsi="仿宋" w:eastAsia="仿宋" w:cs="仿宋"/>
          <w:sz w:val="32"/>
          <w:szCs w:val="32"/>
        </w:rPr>
      </w:pPr>
      <w:r>
        <w:rPr>
          <w:rFonts w:hint="eastAsia" w:ascii="仿宋" w:hAnsi="仿宋" w:eastAsia="仿宋" w:cs="仿宋"/>
          <w:sz w:val="32"/>
          <w:szCs w:val="32"/>
        </w:rPr>
        <w:t>智慧医院网络安全与信息化建设项目管理委员会办公室：</w:t>
      </w:r>
    </w:p>
    <w:p w14:paraId="7D62F20F">
      <w:pPr>
        <w:spacing w:line="560" w:lineRule="exact"/>
        <w:ind w:left="319" w:leftChars="152" w:firstLine="320" w:firstLineChars="100"/>
        <w:rPr>
          <w:rFonts w:ascii="仿宋" w:hAnsi="仿宋" w:eastAsia="仿宋" w:cs="仿宋"/>
          <w:sz w:val="32"/>
          <w:szCs w:val="32"/>
        </w:rPr>
      </w:pPr>
      <w:r>
        <w:rPr>
          <w:rFonts w:hint="eastAsia" w:ascii="仿宋" w:hAnsi="仿宋" w:eastAsia="仿宋" w:cs="仿宋"/>
          <w:sz w:val="32"/>
          <w:szCs w:val="32"/>
        </w:rPr>
        <w:t>本人委托我处室其他人员参加   年   月日召开的委员会会议。</w:t>
      </w:r>
    </w:p>
    <w:p w14:paraId="40804DE8">
      <w:pPr>
        <w:spacing w:line="560" w:lineRule="exact"/>
        <w:ind w:firstLine="640" w:firstLineChars="200"/>
        <w:rPr>
          <w:rFonts w:ascii="仿宋" w:hAnsi="仿宋" w:eastAsia="仿宋" w:cs="仿宋"/>
          <w:sz w:val="32"/>
          <w:szCs w:val="32"/>
        </w:rPr>
      </w:pPr>
    </w:p>
    <w:p w14:paraId="54E7531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受托人全权代表本人参与讨论当日会议相关事项，对受托人在会议上的表决，本人均予以认可。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2551"/>
        <w:gridCol w:w="2602"/>
      </w:tblGrid>
      <w:tr w14:paraId="7E8D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52C93C5">
            <w:pPr>
              <w:spacing w:line="560" w:lineRule="exact"/>
              <w:jc w:val="center"/>
              <w:rPr>
                <w:rFonts w:ascii="仿宋" w:hAnsi="仿宋" w:eastAsia="仿宋" w:cs="仿宋"/>
                <w:sz w:val="30"/>
                <w:szCs w:val="30"/>
              </w:rPr>
            </w:pPr>
            <w:r>
              <w:rPr>
                <w:rFonts w:hint="eastAsia" w:ascii="仿宋" w:hAnsi="仿宋" w:eastAsia="仿宋" w:cs="仿宋"/>
                <w:sz w:val="30"/>
                <w:szCs w:val="30"/>
              </w:rPr>
              <w:t>受托人姓名</w:t>
            </w:r>
          </w:p>
        </w:tc>
        <w:tc>
          <w:tcPr>
            <w:tcW w:w="1560" w:type="dxa"/>
          </w:tcPr>
          <w:p w14:paraId="12F88E8D">
            <w:pPr>
              <w:spacing w:line="560" w:lineRule="exact"/>
              <w:jc w:val="center"/>
              <w:rPr>
                <w:rFonts w:ascii="仿宋" w:hAnsi="仿宋" w:eastAsia="仿宋" w:cs="仿宋"/>
                <w:sz w:val="30"/>
                <w:szCs w:val="30"/>
              </w:rPr>
            </w:pPr>
            <w:r>
              <w:rPr>
                <w:rFonts w:hint="eastAsia" w:ascii="仿宋" w:hAnsi="仿宋" w:eastAsia="仿宋" w:cs="仿宋"/>
                <w:sz w:val="30"/>
                <w:szCs w:val="30"/>
              </w:rPr>
              <w:t>所属部门</w:t>
            </w:r>
          </w:p>
        </w:tc>
        <w:tc>
          <w:tcPr>
            <w:tcW w:w="2551" w:type="dxa"/>
            <w:vAlign w:val="center"/>
          </w:tcPr>
          <w:p w14:paraId="7BDE8F02">
            <w:pPr>
              <w:spacing w:line="560" w:lineRule="exact"/>
              <w:jc w:val="center"/>
              <w:rPr>
                <w:rFonts w:ascii="仿宋" w:hAnsi="仿宋" w:eastAsia="仿宋" w:cs="仿宋"/>
                <w:sz w:val="30"/>
                <w:szCs w:val="30"/>
              </w:rPr>
            </w:pPr>
            <w:r>
              <w:rPr>
                <w:rFonts w:hint="eastAsia" w:ascii="仿宋" w:hAnsi="仿宋" w:eastAsia="仿宋" w:cs="仿宋"/>
                <w:sz w:val="30"/>
                <w:szCs w:val="30"/>
              </w:rPr>
              <w:t>技术职称或职务</w:t>
            </w:r>
          </w:p>
        </w:tc>
        <w:tc>
          <w:tcPr>
            <w:tcW w:w="2602" w:type="dxa"/>
          </w:tcPr>
          <w:p w14:paraId="5327B103">
            <w:pPr>
              <w:spacing w:line="560" w:lineRule="exact"/>
              <w:jc w:val="center"/>
              <w:rPr>
                <w:rFonts w:ascii="仿宋" w:hAnsi="仿宋" w:eastAsia="仿宋" w:cs="仿宋"/>
                <w:sz w:val="30"/>
                <w:szCs w:val="30"/>
              </w:rPr>
            </w:pPr>
            <w:r>
              <w:rPr>
                <w:rFonts w:hint="eastAsia" w:ascii="仿宋" w:hAnsi="仿宋" w:eastAsia="仿宋" w:cs="仿宋"/>
                <w:sz w:val="30"/>
                <w:szCs w:val="30"/>
              </w:rPr>
              <w:t>联系电话</w:t>
            </w:r>
          </w:p>
        </w:tc>
      </w:tr>
      <w:tr w14:paraId="28CE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AF2E297">
            <w:pPr>
              <w:spacing w:line="560" w:lineRule="exact"/>
              <w:jc w:val="center"/>
              <w:rPr>
                <w:rFonts w:ascii="仿宋" w:hAnsi="仿宋" w:eastAsia="仿宋" w:cs="仿宋"/>
                <w:sz w:val="32"/>
                <w:szCs w:val="32"/>
              </w:rPr>
            </w:pPr>
          </w:p>
        </w:tc>
        <w:tc>
          <w:tcPr>
            <w:tcW w:w="1560" w:type="dxa"/>
          </w:tcPr>
          <w:p w14:paraId="626EF887">
            <w:pPr>
              <w:spacing w:line="560" w:lineRule="exact"/>
              <w:jc w:val="center"/>
              <w:rPr>
                <w:rFonts w:ascii="仿宋" w:hAnsi="仿宋" w:eastAsia="仿宋" w:cs="仿宋"/>
                <w:sz w:val="32"/>
                <w:szCs w:val="32"/>
              </w:rPr>
            </w:pPr>
          </w:p>
        </w:tc>
        <w:tc>
          <w:tcPr>
            <w:tcW w:w="2551" w:type="dxa"/>
          </w:tcPr>
          <w:p w14:paraId="5A10D0DB">
            <w:pPr>
              <w:spacing w:line="560" w:lineRule="exact"/>
              <w:jc w:val="center"/>
              <w:rPr>
                <w:rFonts w:ascii="仿宋" w:hAnsi="仿宋" w:eastAsia="仿宋" w:cs="仿宋"/>
                <w:sz w:val="32"/>
                <w:szCs w:val="32"/>
              </w:rPr>
            </w:pPr>
          </w:p>
        </w:tc>
        <w:tc>
          <w:tcPr>
            <w:tcW w:w="2602" w:type="dxa"/>
          </w:tcPr>
          <w:p w14:paraId="3AAF48ED">
            <w:pPr>
              <w:spacing w:line="560" w:lineRule="exact"/>
              <w:jc w:val="center"/>
              <w:rPr>
                <w:rFonts w:ascii="仿宋" w:hAnsi="仿宋" w:eastAsia="仿宋" w:cs="仿宋"/>
                <w:sz w:val="32"/>
                <w:szCs w:val="32"/>
              </w:rPr>
            </w:pPr>
          </w:p>
        </w:tc>
      </w:tr>
    </w:tbl>
    <w:p w14:paraId="27C536F7">
      <w:pPr>
        <w:spacing w:line="560" w:lineRule="exact"/>
        <w:ind w:firstLine="640" w:firstLineChars="200"/>
        <w:rPr>
          <w:rFonts w:ascii="仿宋" w:hAnsi="仿宋" w:eastAsia="仿宋" w:cs="仿宋"/>
          <w:sz w:val="32"/>
          <w:szCs w:val="32"/>
        </w:rPr>
      </w:pPr>
    </w:p>
    <w:p w14:paraId="1080F0FE">
      <w:pPr>
        <w:spacing w:line="560" w:lineRule="exact"/>
        <w:rPr>
          <w:rFonts w:ascii="仿宋" w:hAnsi="仿宋" w:eastAsia="仿宋" w:cs="仿宋"/>
          <w:sz w:val="32"/>
          <w:szCs w:val="32"/>
        </w:rPr>
      </w:pPr>
    </w:p>
    <w:p w14:paraId="64228489">
      <w:pPr>
        <w:spacing w:line="560" w:lineRule="exact"/>
        <w:ind w:firstLine="5120" w:firstLineChars="1600"/>
        <w:rPr>
          <w:rFonts w:ascii="仿宋" w:hAnsi="仿宋" w:eastAsia="仿宋" w:cs="仿宋"/>
          <w:sz w:val="32"/>
          <w:szCs w:val="32"/>
        </w:rPr>
      </w:pPr>
      <w:r>
        <w:rPr>
          <w:rFonts w:hint="eastAsia" w:ascii="仿宋" w:hAnsi="仿宋" w:eastAsia="仿宋" w:cs="仿宋"/>
          <w:sz w:val="32"/>
          <w:szCs w:val="32"/>
        </w:rPr>
        <w:t>委托人</w:t>
      </w:r>
      <w:r>
        <w:rPr>
          <w:rFonts w:ascii="仿宋" w:hAnsi="仿宋" w:eastAsia="仿宋" w:cs="仿宋"/>
          <w:sz w:val="32"/>
          <w:szCs w:val="32"/>
        </w:rPr>
        <w:t>:</w:t>
      </w:r>
    </w:p>
    <w:p w14:paraId="68C7A9C9">
      <w:pPr>
        <w:spacing w:line="560" w:lineRule="exact"/>
        <w:ind w:firstLine="5120" w:firstLineChars="1600"/>
        <w:rPr>
          <w:rFonts w:ascii="仿宋" w:hAnsi="仿宋" w:eastAsia="仿宋" w:cs="仿宋"/>
          <w:sz w:val="32"/>
          <w:szCs w:val="32"/>
        </w:rPr>
      </w:pPr>
      <w:r>
        <w:rPr>
          <w:rFonts w:hint="eastAsia" w:ascii="仿宋" w:hAnsi="仿宋" w:eastAsia="仿宋" w:cs="仿宋"/>
          <w:sz w:val="32"/>
          <w:szCs w:val="32"/>
        </w:rPr>
        <w:t>受托人：</w:t>
      </w:r>
    </w:p>
    <w:p w14:paraId="49BEF3D2">
      <w:pPr>
        <w:spacing w:line="560" w:lineRule="exact"/>
        <w:jc w:val="right"/>
        <w:rPr>
          <w:rFonts w:ascii="仿宋" w:hAnsi="仿宋" w:eastAsia="仿宋" w:cs="仿宋"/>
          <w:sz w:val="32"/>
          <w:szCs w:val="32"/>
        </w:rPr>
      </w:pPr>
      <w:r>
        <w:rPr>
          <w:rFonts w:hint="eastAsia" w:ascii="仿宋" w:hAnsi="仿宋" w:eastAsia="仿宋" w:cs="仿宋"/>
          <w:sz w:val="32"/>
          <w:szCs w:val="32"/>
        </w:rPr>
        <w:t>年月日</w:t>
      </w:r>
    </w:p>
    <w:p w14:paraId="5C03EC0D">
      <w:pPr>
        <w:spacing w:line="560" w:lineRule="exact"/>
      </w:pPr>
    </w:p>
    <w:sectPr>
      <w:footerReference r:id="rId3" w:type="default"/>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394A69-B872-4CCC-BFC9-AD3EFF1B8B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6DE408D-0E92-4FC6-873C-932A6069E811}"/>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E3D451F7-759E-4B4C-A47B-698A8E822993}"/>
  </w:font>
  <w:font w:name="仿宋">
    <w:panose1 w:val="02010609060101010101"/>
    <w:charset w:val="86"/>
    <w:family w:val="modern"/>
    <w:pitch w:val="default"/>
    <w:sig w:usb0="800002BF" w:usb1="38CF7CFA" w:usb2="00000016" w:usb3="00000000" w:csb0="00040001" w:csb1="00000000"/>
    <w:embedRegular r:id="rId4" w:fontKey="{857335F4-E69F-417A-BBDC-CA403CA44B95}"/>
  </w:font>
  <w:font w:name="仿宋_GB2312">
    <w:altName w:val="仿宋"/>
    <w:panose1 w:val="00000000000000000000"/>
    <w:charset w:val="86"/>
    <w:family w:val="modern"/>
    <w:pitch w:val="default"/>
    <w:sig w:usb0="00000000" w:usb1="00000000" w:usb2="00000000" w:usb3="00000000" w:csb0="00040000" w:csb1="00000000"/>
    <w:embedRegular r:id="rId5" w:fontKey="{F856E49A-01DC-4956-96F5-DF382F31141C}"/>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E16C">
    <w:pPr>
      <w:pStyle w:val="7"/>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780CBCB7">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E7DDE"/>
    <w:multiLevelType w:val="multilevel"/>
    <w:tmpl w:val="4C9E7DDE"/>
    <w:lvl w:ilvl="0" w:tentative="0">
      <w:start w:val="1"/>
      <w:numFmt w:val="japaneseCounting"/>
      <w:lvlText w:val="（%1）"/>
      <w:lvlJc w:val="left"/>
      <w:pPr>
        <w:ind w:left="1647"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7002"/>
    <w:rsid w:val="00007971"/>
    <w:rsid w:val="00011F4A"/>
    <w:rsid w:val="000212EB"/>
    <w:rsid w:val="000274B8"/>
    <w:rsid w:val="00034C5A"/>
    <w:rsid w:val="000378DF"/>
    <w:rsid w:val="000403CC"/>
    <w:rsid w:val="000443D9"/>
    <w:rsid w:val="00044A1F"/>
    <w:rsid w:val="0005064F"/>
    <w:rsid w:val="00062C53"/>
    <w:rsid w:val="00064E24"/>
    <w:rsid w:val="000A017A"/>
    <w:rsid w:val="000B6FD9"/>
    <w:rsid w:val="000E027F"/>
    <w:rsid w:val="000F55B6"/>
    <w:rsid w:val="0010799B"/>
    <w:rsid w:val="00123E2F"/>
    <w:rsid w:val="00135E59"/>
    <w:rsid w:val="00142A62"/>
    <w:rsid w:val="00144075"/>
    <w:rsid w:val="001647AC"/>
    <w:rsid w:val="00173799"/>
    <w:rsid w:val="0018368D"/>
    <w:rsid w:val="0018490D"/>
    <w:rsid w:val="001927AA"/>
    <w:rsid w:val="0019714D"/>
    <w:rsid w:val="001B4D21"/>
    <w:rsid w:val="001C7544"/>
    <w:rsid w:val="001D7AA0"/>
    <w:rsid w:val="001E38F1"/>
    <w:rsid w:val="001E756E"/>
    <w:rsid w:val="001F00CD"/>
    <w:rsid w:val="001F61E7"/>
    <w:rsid w:val="001F76F1"/>
    <w:rsid w:val="002348BC"/>
    <w:rsid w:val="00253E15"/>
    <w:rsid w:val="00262475"/>
    <w:rsid w:val="00290333"/>
    <w:rsid w:val="0029111A"/>
    <w:rsid w:val="002924B5"/>
    <w:rsid w:val="00292501"/>
    <w:rsid w:val="002A5BC3"/>
    <w:rsid w:val="002B2900"/>
    <w:rsid w:val="002B4D83"/>
    <w:rsid w:val="002D0B25"/>
    <w:rsid w:val="002E0DD8"/>
    <w:rsid w:val="002E5B4B"/>
    <w:rsid w:val="00315337"/>
    <w:rsid w:val="00315341"/>
    <w:rsid w:val="00324077"/>
    <w:rsid w:val="0033336E"/>
    <w:rsid w:val="00350BF6"/>
    <w:rsid w:val="0035157E"/>
    <w:rsid w:val="00361DFD"/>
    <w:rsid w:val="003644A2"/>
    <w:rsid w:val="00376D3C"/>
    <w:rsid w:val="00384ACA"/>
    <w:rsid w:val="003861F0"/>
    <w:rsid w:val="00390A53"/>
    <w:rsid w:val="00394BD3"/>
    <w:rsid w:val="003A02DC"/>
    <w:rsid w:val="003A4B14"/>
    <w:rsid w:val="003A50E4"/>
    <w:rsid w:val="003B043B"/>
    <w:rsid w:val="003B3875"/>
    <w:rsid w:val="003B42ED"/>
    <w:rsid w:val="003B473F"/>
    <w:rsid w:val="003B66DE"/>
    <w:rsid w:val="003C1711"/>
    <w:rsid w:val="003C6C0A"/>
    <w:rsid w:val="003C7114"/>
    <w:rsid w:val="003E3114"/>
    <w:rsid w:val="003F21F4"/>
    <w:rsid w:val="00423207"/>
    <w:rsid w:val="00431F43"/>
    <w:rsid w:val="00454BAA"/>
    <w:rsid w:val="0047175A"/>
    <w:rsid w:val="004878A9"/>
    <w:rsid w:val="004A08D1"/>
    <w:rsid w:val="004A2D40"/>
    <w:rsid w:val="004A42D2"/>
    <w:rsid w:val="004D2810"/>
    <w:rsid w:val="004F46E0"/>
    <w:rsid w:val="00544AE8"/>
    <w:rsid w:val="00550AA1"/>
    <w:rsid w:val="00550D09"/>
    <w:rsid w:val="00566525"/>
    <w:rsid w:val="00576635"/>
    <w:rsid w:val="00576E94"/>
    <w:rsid w:val="00585102"/>
    <w:rsid w:val="00592F31"/>
    <w:rsid w:val="005935EE"/>
    <w:rsid w:val="005949FE"/>
    <w:rsid w:val="005A5DE1"/>
    <w:rsid w:val="005C057A"/>
    <w:rsid w:val="005D39D5"/>
    <w:rsid w:val="005F52FD"/>
    <w:rsid w:val="005F5911"/>
    <w:rsid w:val="00605C92"/>
    <w:rsid w:val="00607F2F"/>
    <w:rsid w:val="00613A5A"/>
    <w:rsid w:val="00622E91"/>
    <w:rsid w:val="00626324"/>
    <w:rsid w:val="00654658"/>
    <w:rsid w:val="0067731C"/>
    <w:rsid w:val="00684E73"/>
    <w:rsid w:val="006B3386"/>
    <w:rsid w:val="00717A1A"/>
    <w:rsid w:val="00732AF1"/>
    <w:rsid w:val="007667E3"/>
    <w:rsid w:val="00810857"/>
    <w:rsid w:val="008137E3"/>
    <w:rsid w:val="0082275C"/>
    <w:rsid w:val="00826746"/>
    <w:rsid w:val="00876660"/>
    <w:rsid w:val="00877928"/>
    <w:rsid w:val="00882450"/>
    <w:rsid w:val="0088748D"/>
    <w:rsid w:val="008C1589"/>
    <w:rsid w:val="008C63A3"/>
    <w:rsid w:val="008C6F88"/>
    <w:rsid w:val="008D11BD"/>
    <w:rsid w:val="008F3CD0"/>
    <w:rsid w:val="00900591"/>
    <w:rsid w:val="00933D07"/>
    <w:rsid w:val="00966525"/>
    <w:rsid w:val="009711E4"/>
    <w:rsid w:val="00985895"/>
    <w:rsid w:val="00985D57"/>
    <w:rsid w:val="009A1A53"/>
    <w:rsid w:val="009B285A"/>
    <w:rsid w:val="009C5A66"/>
    <w:rsid w:val="009E2BC0"/>
    <w:rsid w:val="009E5166"/>
    <w:rsid w:val="009F544F"/>
    <w:rsid w:val="009F7002"/>
    <w:rsid w:val="00A261BB"/>
    <w:rsid w:val="00A41184"/>
    <w:rsid w:val="00A55DD3"/>
    <w:rsid w:val="00A6328D"/>
    <w:rsid w:val="00A73D7D"/>
    <w:rsid w:val="00A80E55"/>
    <w:rsid w:val="00AC5DE6"/>
    <w:rsid w:val="00AD3610"/>
    <w:rsid w:val="00AD4169"/>
    <w:rsid w:val="00AF1BB7"/>
    <w:rsid w:val="00B0102E"/>
    <w:rsid w:val="00B34E79"/>
    <w:rsid w:val="00B364AC"/>
    <w:rsid w:val="00B65718"/>
    <w:rsid w:val="00B67D93"/>
    <w:rsid w:val="00BA574C"/>
    <w:rsid w:val="00BB0F6F"/>
    <w:rsid w:val="00BB6E23"/>
    <w:rsid w:val="00BC250D"/>
    <w:rsid w:val="00C11BA9"/>
    <w:rsid w:val="00C50847"/>
    <w:rsid w:val="00C5451C"/>
    <w:rsid w:val="00C66F3E"/>
    <w:rsid w:val="00C76AB1"/>
    <w:rsid w:val="00C8535D"/>
    <w:rsid w:val="00C954FD"/>
    <w:rsid w:val="00C9562A"/>
    <w:rsid w:val="00CA42B1"/>
    <w:rsid w:val="00CC6AA6"/>
    <w:rsid w:val="00CD22EA"/>
    <w:rsid w:val="00CF6091"/>
    <w:rsid w:val="00CF6FD6"/>
    <w:rsid w:val="00D03272"/>
    <w:rsid w:val="00D073DD"/>
    <w:rsid w:val="00D13D13"/>
    <w:rsid w:val="00D2051C"/>
    <w:rsid w:val="00D362A9"/>
    <w:rsid w:val="00D3799D"/>
    <w:rsid w:val="00D42BE0"/>
    <w:rsid w:val="00D603E0"/>
    <w:rsid w:val="00D934A5"/>
    <w:rsid w:val="00DC64B7"/>
    <w:rsid w:val="00DC6EB8"/>
    <w:rsid w:val="00DC76A9"/>
    <w:rsid w:val="00DC7D40"/>
    <w:rsid w:val="00DE37EF"/>
    <w:rsid w:val="00DE5A8A"/>
    <w:rsid w:val="00DF776E"/>
    <w:rsid w:val="00E1403A"/>
    <w:rsid w:val="00E25F9D"/>
    <w:rsid w:val="00E314A4"/>
    <w:rsid w:val="00E51E63"/>
    <w:rsid w:val="00E5737B"/>
    <w:rsid w:val="00E62A5D"/>
    <w:rsid w:val="00E663FD"/>
    <w:rsid w:val="00E67681"/>
    <w:rsid w:val="00E91163"/>
    <w:rsid w:val="00EA69AD"/>
    <w:rsid w:val="00EF35C8"/>
    <w:rsid w:val="00F66597"/>
    <w:rsid w:val="00F722F0"/>
    <w:rsid w:val="00F74DB1"/>
    <w:rsid w:val="00F830C3"/>
    <w:rsid w:val="00F909A4"/>
    <w:rsid w:val="00F92CAB"/>
    <w:rsid w:val="00F93251"/>
    <w:rsid w:val="00FA1153"/>
    <w:rsid w:val="00FB75DA"/>
    <w:rsid w:val="00FB7DC6"/>
    <w:rsid w:val="00FC5641"/>
    <w:rsid w:val="00FC7A72"/>
    <w:rsid w:val="00FC7F52"/>
    <w:rsid w:val="014A4B87"/>
    <w:rsid w:val="01A551DF"/>
    <w:rsid w:val="01B573C5"/>
    <w:rsid w:val="03E518F2"/>
    <w:rsid w:val="0418762A"/>
    <w:rsid w:val="0574760E"/>
    <w:rsid w:val="060F1749"/>
    <w:rsid w:val="079E79DA"/>
    <w:rsid w:val="08AB2A9B"/>
    <w:rsid w:val="09621B1B"/>
    <w:rsid w:val="09885298"/>
    <w:rsid w:val="09E03B69"/>
    <w:rsid w:val="0A5A153B"/>
    <w:rsid w:val="0B7D4E6C"/>
    <w:rsid w:val="0BB677FF"/>
    <w:rsid w:val="0BE02179"/>
    <w:rsid w:val="0D1E30E5"/>
    <w:rsid w:val="0D241AFF"/>
    <w:rsid w:val="0D4E5B1A"/>
    <w:rsid w:val="0D976429"/>
    <w:rsid w:val="0DFB165B"/>
    <w:rsid w:val="0EF33C3F"/>
    <w:rsid w:val="0F6A11F2"/>
    <w:rsid w:val="0FB32491"/>
    <w:rsid w:val="1019073A"/>
    <w:rsid w:val="1021389E"/>
    <w:rsid w:val="102962AF"/>
    <w:rsid w:val="116E3B79"/>
    <w:rsid w:val="12474A0F"/>
    <w:rsid w:val="1299771C"/>
    <w:rsid w:val="14887894"/>
    <w:rsid w:val="14D47A12"/>
    <w:rsid w:val="15082937"/>
    <w:rsid w:val="15D32F45"/>
    <w:rsid w:val="174A40F5"/>
    <w:rsid w:val="176D4360"/>
    <w:rsid w:val="18EE0096"/>
    <w:rsid w:val="19AC1CEB"/>
    <w:rsid w:val="1B2B737F"/>
    <w:rsid w:val="1B5E4C48"/>
    <w:rsid w:val="1C5F4193"/>
    <w:rsid w:val="1CC21DD9"/>
    <w:rsid w:val="1E227083"/>
    <w:rsid w:val="1E8666D8"/>
    <w:rsid w:val="1EAF1395"/>
    <w:rsid w:val="1EFB6ABF"/>
    <w:rsid w:val="20543CF5"/>
    <w:rsid w:val="2210107D"/>
    <w:rsid w:val="221718EC"/>
    <w:rsid w:val="22AF0896"/>
    <w:rsid w:val="22F23103"/>
    <w:rsid w:val="26612401"/>
    <w:rsid w:val="267D6F7C"/>
    <w:rsid w:val="26CB4CDA"/>
    <w:rsid w:val="273D2914"/>
    <w:rsid w:val="2A411ABD"/>
    <w:rsid w:val="2C820DC9"/>
    <w:rsid w:val="2D355E3C"/>
    <w:rsid w:val="2E0308AA"/>
    <w:rsid w:val="2E136E51"/>
    <w:rsid w:val="2FB25428"/>
    <w:rsid w:val="2FB63264"/>
    <w:rsid w:val="2FEE619B"/>
    <w:rsid w:val="303C2BF7"/>
    <w:rsid w:val="315C324A"/>
    <w:rsid w:val="315E685A"/>
    <w:rsid w:val="34761214"/>
    <w:rsid w:val="347B2A5F"/>
    <w:rsid w:val="34842172"/>
    <w:rsid w:val="349F4DC9"/>
    <w:rsid w:val="379876F3"/>
    <w:rsid w:val="38064887"/>
    <w:rsid w:val="388D135D"/>
    <w:rsid w:val="39FA368D"/>
    <w:rsid w:val="3A0E573B"/>
    <w:rsid w:val="3B2770D1"/>
    <w:rsid w:val="3B331C0C"/>
    <w:rsid w:val="3B334302"/>
    <w:rsid w:val="3B5F4977"/>
    <w:rsid w:val="3BF11627"/>
    <w:rsid w:val="3C3D6ABB"/>
    <w:rsid w:val="3C6D7866"/>
    <w:rsid w:val="3CF2053B"/>
    <w:rsid w:val="3D0F2FE4"/>
    <w:rsid w:val="3D6E33D0"/>
    <w:rsid w:val="3DB646B6"/>
    <w:rsid w:val="3DE43692"/>
    <w:rsid w:val="3E1C72D0"/>
    <w:rsid w:val="3F141D55"/>
    <w:rsid w:val="3FF315A8"/>
    <w:rsid w:val="40835BD0"/>
    <w:rsid w:val="40E12601"/>
    <w:rsid w:val="41614FF9"/>
    <w:rsid w:val="42224789"/>
    <w:rsid w:val="435C3CCA"/>
    <w:rsid w:val="43E066A9"/>
    <w:rsid w:val="449C6A74"/>
    <w:rsid w:val="44AD0C49"/>
    <w:rsid w:val="4590632E"/>
    <w:rsid w:val="46AA0B77"/>
    <w:rsid w:val="479E6FA7"/>
    <w:rsid w:val="48023657"/>
    <w:rsid w:val="488204B7"/>
    <w:rsid w:val="49A34401"/>
    <w:rsid w:val="4BBC6E24"/>
    <w:rsid w:val="4CCA7EF7"/>
    <w:rsid w:val="4F1404BD"/>
    <w:rsid w:val="4F9071D6"/>
    <w:rsid w:val="526D37FE"/>
    <w:rsid w:val="52A66D10"/>
    <w:rsid w:val="52E87329"/>
    <w:rsid w:val="537F736C"/>
    <w:rsid w:val="53844DF0"/>
    <w:rsid w:val="54A86D6F"/>
    <w:rsid w:val="55047F59"/>
    <w:rsid w:val="552A280D"/>
    <w:rsid w:val="57276654"/>
    <w:rsid w:val="5A2D67D5"/>
    <w:rsid w:val="5A607209"/>
    <w:rsid w:val="5AD21A31"/>
    <w:rsid w:val="5B215ACE"/>
    <w:rsid w:val="5B23235B"/>
    <w:rsid w:val="5B6C36A2"/>
    <w:rsid w:val="5C8F21EC"/>
    <w:rsid w:val="5E296768"/>
    <w:rsid w:val="608B06CC"/>
    <w:rsid w:val="60CE3D8B"/>
    <w:rsid w:val="62F2427A"/>
    <w:rsid w:val="63D77671"/>
    <w:rsid w:val="64E4079E"/>
    <w:rsid w:val="65554AD3"/>
    <w:rsid w:val="65DA6B77"/>
    <w:rsid w:val="65E07CA9"/>
    <w:rsid w:val="65F9A308"/>
    <w:rsid w:val="66BE2423"/>
    <w:rsid w:val="67E84B2B"/>
    <w:rsid w:val="69872FA0"/>
    <w:rsid w:val="69C53AC8"/>
    <w:rsid w:val="6A2627B9"/>
    <w:rsid w:val="6AA03B35"/>
    <w:rsid w:val="6C684363"/>
    <w:rsid w:val="6D4633FA"/>
    <w:rsid w:val="6E461514"/>
    <w:rsid w:val="710F493B"/>
    <w:rsid w:val="714B671C"/>
    <w:rsid w:val="715A6CDB"/>
    <w:rsid w:val="72192C03"/>
    <w:rsid w:val="72CB156C"/>
    <w:rsid w:val="72FBFE5C"/>
    <w:rsid w:val="733747B5"/>
    <w:rsid w:val="766A04F5"/>
    <w:rsid w:val="77353FBF"/>
    <w:rsid w:val="77E23186"/>
    <w:rsid w:val="795676A7"/>
    <w:rsid w:val="79763ED1"/>
    <w:rsid w:val="79FD20BB"/>
    <w:rsid w:val="7AB57A3E"/>
    <w:rsid w:val="7D357247"/>
    <w:rsid w:val="7E7F27C8"/>
    <w:rsid w:val="7E807062"/>
    <w:rsid w:val="7EF90044"/>
    <w:rsid w:val="7F0F1615"/>
    <w:rsid w:val="7F273651"/>
    <w:rsid w:val="7FBF56CF"/>
    <w:rsid w:val="8FD6345C"/>
    <w:rsid w:val="FF7579F5"/>
    <w:rsid w:val="FFFFE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8"/>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styleId="16">
    <w:name w:val="List Paragraph"/>
    <w:basedOn w:val="1"/>
    <w:qFormat/>
    <w:uiPriority w:val="99"/>
    <w:pPr>
      <w:ind w:firstLine="420" w:firstLineChars="200"/>
    </w:pPr>
    <w:rPr>
      <w:rFonts w:ascii="Calibri" w:hAnsi="Calibri" w:eastAsia="宋体" w:cs="Times New Roman"/>
    </w:rPr>
  </w:style>
  <w:style w:type="paragraph" w:customStyle="1" w:styleId="17">
    <w:name w:val="Default"/>
    <w:basedOn w:val="1"/>
    <w:qFormat/>
    <w:uiPriority w:val="0"/>
    <w:pPr>
      <w:autoSpaceDE w:val="0"/>
      <w:autoSpaceDN w:val="0"/>
      <w:adjustRightInd w:val="0"/>
      <w:jc w:val="left"/>
    </w:pPr>
    <w:rPr>
      <w:rFonts w:hint="eastAsia" w:ascii="宋体" w:hAnsi="Times New Roman" w:eastAsia="宋体" w:cs="Times New Roman"/>
      <w:color w:val="000000"/>
      <w:kern w:val="0"/>
      <w:sz w:val="24"/>
      <w:szCs w:val="24"/>
    </w:rPr>
  </w:style>
  <w:style w:type="character" w:customStyle="1" w:styleId="18">
    <w:name w:val="标题 3 Char"/>
    <w:basedOn w:val="12"/>
    <w:link w:val="4"/>
    <w:qFormat/>
    <w:uiPriority w:val="0"/>
    <w:rPr>
      <w:b/>
      <w:bCs/>
      <w:kern w:val="2"/>
      <w:sz w:val="32"/>
      <w:szCs w:val="32"/>
    </w:rPr>
  </w:style>
  <w:style w:type="character" w:customStyle="1" w:styleId="19">
    <w:name w:val="标题 2 Char"/>
    <w:basedOn w:val="12"/>
    <w:link w:val="3"/>
    <w:qFormat/>
    <w:uiPriority w:val="0"/>
    <w:rPr>
      <w:rFonts w:hint="default" w:ascii="Calibri Light" w:hAnsi="Calibri Light" w:eastAsia="Calibri Light" w:cs="Calibri Light"/>
      <w:b/>
      <w:bCs/>
      <w:kern w:val="2"/>
      <w:sz w:val="32"/>
      <w:szCs w:val="32"/>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Char"/>
    <w:basedOn w:val="12"/>
    <w:link w:val="2"/>
    <w:qFormat/>
    <w:uiPriority w:val="9"/>
    <w:rPr>
      <w:rFonts w:asciiTheme="minorHAnsi" w:hAnsiTheme="minorHAnsi" w:eastAsiaTheme="minorEastAsia" w:cstheme="minorBidi"/>
      <w:b/>
      <w:bCs/>
      <w:kern w:val="44"/>
      <w:sz w:val="44"/>
      <w:szCs w:val="44"/>
    </w:rPr>
  </w:style>
  <w:style w:type="paragraph" w:customStyle="1" w:styleId="2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批注框文本 Char"/>
    <w:basedOn w:val="12"/>
    <w:link w:val="6"/>
    <w:semiHidden/>
    <w:qFormat/>
    <w:uiPriority w:val="99"/>
    <w:rPr>
      <w:rFonts w:asciiTheme="minorHAnsi" w:hAnsiTheme="minorHAnsi" w:eastAsiaTheme="minorEastAsia" w:cstheme="minorBidi"/>
      <w:kern w:val="2"/>
      <w:sz w:val="18"/>
      <w:szCs w:val="18"/>
    </w:rPr>
  </w:style>
  <w:style w:type="character" w:customStyle="1" w:styleId="27">
    <w:name w:val="批注文字 Char"/>
    <w:basedOn w:val="12"/>
    <w:link w:val="5"/>
    <w:semiHidden/>
    <w:qFormat/>
    <w:uiPriority w:val="99"/>
    <w:rPr>
      <w:rFonts w:asciiTheme="minorHAnsi" w:hAnsiTheme="minorHAnsi" w:eastAsiaTheme="minorEastAsia" w:cstheme="minorBidi"/>
      <w:kern w:val="2"/>
      <w:sz w:val="21"/>
      <w:szCs w:val="22"/>
    </w:rPr>
  </w:style>
  <w:style w:type="character" w:customStyle="1" w:styleId="28">
    <w:name w:val="批注主题 Char"/>
    <w:basedOn w:val="27"/>
    <w:link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94E1A-76B7-4C68-9361-8492B61E47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2917</Words>
  <Characters>2932</Characters>
  <Lines>21</Lines>
  <Paragraphs>6</Paragraphs>
  <TotalTime>2</TotalTime>
  <ScaleCrop>false</ScaleCrop>
  <LinksUpToDate>false</LinksUpToDate>
  <CharactersWithSpaces>2959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2025-08-30T10:07:00Z</dcterms:created>
  <dc:creator>gyb1</dc:creator>
  <cp:lastModifiedBy>信息处唐英璇</cp:lastModifiedBy>
  <dcterms:modified xsi:type="dcterms:W3CDTF">2026-04-28T07:06:28Z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3E4BF0C6BD6147F591F7F018A1A10759_13</vt:lpwstr>
  </property>
  <property fmtid="{D5CDD505-2E9C-101B-9397-08002B2CF9AE}" pid="4" name="KSOTemplateDocerSaveRecord">
    <vt:lpwstr>eyJoZGlkIjoiMTYyYTczMGVkMzBlYzM3YWM2NWEzZTNiNTU4NWZmZDkiLCJ1c2VySWQiOiIxNTg3MjU2MzM5In0=</vt:lpwstr>
  </property>
</Properties>
</file>