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AC96A">
      <w:pPr>
        <w:pStyle w:val="29"/>
        <w:widowControl/>
        <w:rPr>
          <w:highlight w:val="none"/>
        </w:rPr>
      </w:pPr>
      <w:bookmarkStart w:id="0" w:name="_GoBack"/>
      <w:bookmarkEnd w:id="0"/>
      <mc:AlternateContent>
        <mc:Choice Requires="wpsCustomData">
          <wpsCustomData:docfieldStart id="0" docfieldname="附件_1" hidden="0" print="1" readonly="0" index="3"/>
        </mc:Choice>
      </mc:AlternateContent>
      <w:r>
        <w:rPr>
          <w:highlight w:val="none"/>
        </w:rPr>
        <w:t>附件1 院内比选招标文件</w:t>
      </w:r>
      <mc:AlternateContent>
        <mc:Choice Requires="wpsCustomData">
          <wpsCustomData:docfieldEnd id="0"/>
        </mc:Choice>
      </mc:AlternateContent>
    </w:p>
    <w:p w14:paraId="151E29E7">
      <w:pPr>
        <w:pStyle w:val="12"/>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天津市第一中心医院以院内比选方式，对科技成果转化服务项目，采用综合评分法，选取一名服务商。</w:t>
      </w:r>
    </w:p>
    <w:p w14:paraId="271127C4">
      <w:pPr>
        <w:pStyle w:val="2"/>
        <w:widowControl/>
        <w:numPr>
          <w:ilvl w:val="0"/>
          <w:numId w:val="0"/>
        </w:numPr>
        <w:topLinePunct w:val="0"/>
        <w:ind w:left="0" w:leftChars="0" w:firstLine="640"/>
        <w:rPr>
          <w:b w:val="0"/>
          <w:highlight w:val="none"/>
        </w:rPr>
      </w:pPr>
      <w:r>
        <w:rPr>
          <w:rFonts w:hint="eastAsia"/>
          <w:highlight w:val="none"/>
          <w:lang w:eastAsia="zh-CN"/>
        </w:rPr>
        <w:t>一、</w:t>
      </w:r>
      <w:r>
        <w:rPr>
          <w:highlight w:val="none"/>
        </w:rPr>
        <w:t>项目名称及编号</w:t>
      </w:r>
    </w:p>
    <w:p w14:paraId="7489A07F">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spacing w:val="-6"/>
          <w:lang w:eastAsia="zh-CN"/>
        </w:rPr>
        <w:t>（一）</w:t>
      </w:r>
      <w:r>
        <w:rPr>
          <w:rStyle w:val="31"/>
          <w:spacing w:val="-6"/>
        </w:rPr>
        <w:t>项目名称</w:t>
      </w:r>
      <w:r>
        <w:rPr>
          <w:rFonts w:ascii="Times New Roman" w:hAnsi="Times New Roman" w:eastAsia="仿宋_GB2312" w:cs="仿宋_GB2312"/>
          <w:i w:val="0"/>
          <w:color w:val="000000"/>
          <w:spacing w:val="-6"/>
          <w:sz w:val="32"/>
          <w:szCs w:val="32"/>
          <w:highlight w:val="none"/>
        </w:rPr>
        <w:t>：天津市第一中心医院科技成果转化</w:t>
      </w:r>
      <w:r>
        <w:rPr>
          <w:rFonts w:ascii="Times New Roman" w:hAnsi="Times New Roman" w:eastAsia="仿宋_GB2312" w:cs="仿宋_GB2312"/>
          <w:i w:val="0"/>
          <w:color w:val="000000"/>
          <w:sz w:val="32"/>
          <w:szCs w:val="32"/>
          <w:highlight w:val="none"/>
        </w:rPr>
        <w:t>服务</w:t>
      </w:r>
    </w:p>
    <w:p w14:paraId="04985771">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（二）</w:t>
      </w:r>
      <w:r>
        <w:rPr>
          <w:rStyle w:val="31"/>
        </w:rPr>
        <w:t>项目编号</w:t>
      </w:r>
      <w:r>
        <w:rPr>
          <w:rFonts w:ascii="Times New Roman" w:hAnsi="Times New Roman" w:eastAsia="仿宋_GB2312" w:cs="仿宋_GB2312"/>
          <w:i w:val="0"/>
          <w:color w:val="000000"/>
          <w:sz w:val="32"/>
          <w:szCs w:val="32"/>
          <w:highlight w:val="none"/>
        </w:rPr>
        <w:t>：YNBX－</w:t>
      </w:r>
      <w:r>
        <w:rPr>
          <w:rFonts w:ascii="Times New Roman" w:hAnsi="Times New Roman" w:eastAsia="仿宋_GB2312" w:cs="仿宋_GB2312"/>
          <w:b w:val="0"/>
          <w:sz w:val="32"/>
          <w:szCs w:val="32"/>
          <w:highlight w:val="none"/>
        </w:rPr>
        <w:t>KJ</w:t>
      </w:r>
      <w:r>
        <w:rPr>
          <w:rFonts w:ascii="Times New Roman" w:hAnsi="Times New Roman" w:eastAsia="仿宋_GB2312" w:cs="仿宋_GB2312"/>
          <w:i w:val="0"/>
          <w:color w:val="000000"/>
          <w:sz w:val="32"/>
          <w:szCs w:val="32"/>
          <w:highlight w:val="none"/>
        </w:rPr>
        <w:t>－G－001</w:t>
      </w:r>
    </w:p>
    <w:p w14:paraId="7BAE8825">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（三）</w:t>
      </w:r>
      <w:r>
        <w:rPr>
          <w:rStyle w:val="31"/>
        </w:rPr>
        <w:t>招标单位</w:t>
      </w:r>
      <w:r>
        <w:rPr>
          <w:rFonts w:ascii="Times New Roman" w:hAnsi="Times New Roman" w:eastAsia="仿宋_GB2312" w:cs="仿宋_GB2312"/>
          <w:i w:val="0"/>
          <w:color w:val="000000"/>
          <w:sz w:val="32"/>
          <w:szCs w:val="32"/>
          <w:highlight w:val="none"/>
        </w:rPr>
        <w:t>：天津市第一中心医院</w:t>
      </w:r>
    </w:p>
    <w:p w14:paraId="1D33978E">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（四）</w:t>
      </w:r>
      <w:r>
        <w:rPr>
          <w:rStyle w:val="31"/>
        </w:rPr>
        <w:t>项目预算</w:t>
      </w:r>
      <w:r>
        <w:rPr>
          <w:rFonts w:ascii="Times New Roman" w:hAnsi="Times New Roman" w:eastAsia="仿宋_GB2312" w:cs="仿宋_GB2312"/>
          <w:i w:val="0"/>
          <w:color w:val="000000"/>
          <w:sz w:val="32"/>
          <w:szCs w:val="32"/>
          <w:highlight w:val="none"/>
        </w:rPr>
        <w:t>：本项目最高限价为60000元（人民币），投标报价超过此预算的，视为无效投标。</w:t>
      </w:r>
    </w:p>
    <w:p w14:paraId="28F4105F">
      <w:pPr>
        <w:pStyle w:val="2"/>
        <w:widowControl/>
        <w:numPr>
          <w:ilvl w:val="0"/>
          <w:numId w:val="0"/>
        </w:numPr>
        <w:topLinePunct w:val="0"/>
        <w:ind w:left="0" w:leftChars="0" w:firstLine="640"/>
        <w:rPr>
          <w:b w:val="0"/>
          <w:highlight w:val="none"/>
        </w:rPr>
      </w:pPr>
      <w:r>
        <w:rPr>
          <w:rFonts w:hint="eastAsia"/>
          <w:highlight w:val="none"/>
          <w:lang w:eastAsia="zh-CN"/>
        </w:rPr>
        <w:t>二、</w:t>
      </w:r>
      <w:r>
        <w:rPr>
          <w:highlight w:val="none"/>
        </w:rPr>
        <w:t>采购需求</w:t>
      </w:r>
    </w:p>
    <w:p w14:paraId="5B7F307F">
      <w:pPr>
        <w:pStyle w:val="3"/>
        <w:numPr>
          <w:ilvl w:val="0"/>
          <w:numId w:val="0"/>
        </w:numPr>
        <w:topLinePunct w:val="0"/>
        <w:ind w:left="0" w:leftChars="0" w:firstLine="640"/>
        <w:rPr>
          <w:rFonts w:hint="eastAsia" w:ascii="楷体_GB2312" w:hAnsi="楷体_GB2312" w:eastAsia="楷体_GB2312" w:cs="楷体_GB2312"/>
          <w:b w:val="0"/>
          <w:highlight w:val="none"/>
        </w:rPr>
      </w:pPr>
      <w:r>
        <w:rPr>
          <w:rFonts w:hint="eastAsia"/>
          <w:highlight w:val="none"/>
          <w:lang w:eastAsia="zh-CN"/>
        </w:rPr>
        <w:t>（一）</w:t>
      </w:r>
      <w:r>
        <w:rPr>
          <w:highlight w:val="none"/>
        </w:rPr>
        <w:t>服务内容</w:t>
      </w:r>
    </w:p>
    <w:p w14:paraId="4E69AE31">
      <w:pPr>
        <w:pStyle w:val="12"/>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本项目旨在为天津市第一中心医院提供全流程科技成果转化支撑服务，主要包括：科技成果转化核心制度及标准文本起草、管理体系法律尽调与合规评估、</w:t>
      </w:r>
      <w:r>
        <w:rPr>
          <w:rFonts w:hint="eastAsia" w:ascii="Times New Roman" w:hAnsi="Times New Roman" w:eastAsia="仿宋_GB2312" w:cs="仿宋_GB2312"/>
          <w:i w:val="0"/>
          <w:color w:val="000000"/>
          <w:sz w:val="32"/>
          <w:szCs w:val="32"/>
          <w:highlight w:val="none"/>
        </w:rPr>
        <w:t>专项制度的培训与宣讲</w:t>
      </w:r>
      <w:r>
        <w:rPr>
          <w:rFonts w:ascii="Times New Roman" w:hAnsi="Times New Roman" w:eastAsia="仿宋_GB2312" w:cs="仿宋_GB2312"/>
          <w:i w:val="0"/>
          <w:color w:val="000000"/>
          <w:sz w:val="32"/>
          <w:szCs w:val="32"/>
          <w:highlight w:val="none"/>
        </w:rPr>
        <w:t>、转化全流程线上咨询及解答。</w:t>
      </w:r>
    </w:p>
    <w:p w14:paraId="0F18A6BA">
      <w:pPr>
        <w:pStyle w:val="3"/>
        <w:numPr>
          <w:ilvl w:val="0"/>
          <w:numId w:val="0"/>
        </w:numPr>
        <w:topLinePunct w:val="0"/>
        <w:ind w:left="0" w:leftChars="0" w:firstLine="640"/>
        <w:rPr>
          <w:rFonts w:hint="eastAsia" w:ascii="楷体_GB2312" w:hAnsi="楷体_GB2312" w:eastAsia="楷体_GB2312" w:cs="楷体_GB2312"/>
          <w:b w:val="0"/>
          <w:highlight w:val="none"/>
        </w:rPr>
      </w:pPr>
      <w:r>
        <w:rPr>
          <w:rFonts w:hint="eastAsia"/>
          <w:highlight w:val="none"/>
          <w:lang w:eastAsia="zh-CN"/>
        </w:rPr>
        <w:t>（二）</w:t>
      </w:r>
      <w:r>
        <w:rPr>
          <w:highlight w:val="none"/>
        </w:rPr>
        <w:t>服务要求</w:t>
      </w:r>
    </w:p>
    <w:p w14:paraId="28B7F4C8">
      <w:pPr>
        <w:pStyle w:val="12"/>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中标单位需主动与医院对接，深入理解业务需求，制定详细的服务实施方案，经医院审核确认后开展工作。服务过程中须保持与医院的有效沟通，提交阶段性工作报告，并对服务成果负责。</w:t>
      </w:r>
    </w:p>
    <w:p w14:paraId="27076A01">
      <w:pPr>
        <w:pStyle w:val="3"/>
        <w:numPr>
          <w:ilvl w:val="0"/>
          <w:numId w:val="0"/>
        </w:numPr>
        <w:topLinePunct w:val="0"/>
        <w:ind w:left="0" w:leftChars="0" w:firstLine="640"/>
        <w:rPr>
          <w:rFonts w:hint="eastAsia" w:ascii="楷体_GB2312" w:hAnsi="楷体_GB2312" w:eastAsia="楷体_GB2312" w:cs="楷体_GB2312"/>
          <w:b w:val="0"/>
          <w:highlight w:val="none"/>
        </w:rPr>
      </w:pPr>
      <w:r>
        <w:rPr>
          <w:rFonts w:hint="eastAsia"/>
          <w:highlight w:val="none"/>
          <w:lang w:eastAsia="zh-CN"/>
        </w:rPr>
        <w:t>（三）</w:t>
      </w:r>
      <w:r>
        <w:rPr>
          <w:highlight w:val="none"/>
        </w:rPr>
        <w:t>服务周期</w:t>
      </w:r>
    </w:p>
    <w:p w14:paraId="7C15889A">
      <w:pPr>
        <w:pStyle w:val="12"/>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自合同签署之日起一年。</w:t>
      </w:r>
    </w:p>
    <w:p w14:paraId="64339AF2">
      <w:pPr>
        <w:pStyle w:val="3"/>
        <w:numPr>
          <w:ilvl w:val="0"/>
          <w:numId w:val="0"/>
        </w:numPr>
        <w:topLinePunct w:val="0"/>
        <w:ind w:left="0" w:leftChars="0" w:firstLine="640"/>
        <w:rPr>
          <w:rFonts w:hint="eastAsia" w:ascii="楷体_GB2312" w:hAnsi="楷体_GB2312" w:eastAsia="楷体_GB2312" w:cs="楷体_GB2312"/>
          <w:b w:val="0"/>
          <w:highlight w:val="none"/>
        </w:rPr>
      </w:pPr>
      <w:r>
        <w:rPr>
          <w:rFonts w:hint="eastAsia"/>
          <w:highlight w:val="none"/>
          <w:lang w:eastAsia="zh-CN"/>
        </w:rPr>
        <w:t>（四）</w:t>
      </w:r>
      <w:r>
        <w:rPr>
          <w:highlight w:val="none"/>
        </w:rPr>
        <w:t>其他要求</w:t>
      </w:r>
    </w:p>
    <w:p w14:paraId="4ADA9963">
      <w:pPr>
        <w:pStyle w:val="12"/>
        <w:numPr>
          <w:ilvl w:val="0"/>
          <w:numId w:val="0"/>
        </w:numPr>
        <w:ind w:left="0" w:leftChars="0" w:firstLine="616"/>
        <w:rPr>
          <w:rFonts w:ascii="Times New Roman" w:hAnsi="Times New Roman" w:eastAsia="仿宋_GB2312" w:cs="仿宋_GB2312"/>
          <w:b w:val="0"/>
          <w:i w:val="0"/>
          <w:color w:val="000000"/>
          <w:sz w:val="32"/>
          <w:szCs w:val="32"/>
          <w:highlight w:val="none"/>
        </w:rPr>
      </w:pPr>
      <w:r>
        <w:rPr>
          <w:rFonts w:hint="eastAsia" w:cs="仿宋_GB2312"/>
          <w:i w:val="0"/>
          <w:color w:val="000000"/>
          <w:sz w:val="32"/>
          <w:szCs w:val="32"/>
          <w:highlight w:val="none"/>
          <w:lang w:eastAsia="zh-CN"/>
        </w:rPr>
        <w:t>1.</w:t>
      </w:r>
      <w:r>
        <w:rPr>
          <w:rFonts w:hint="eastAsia" w:ascii="仿宋" w:hAnsi="仿宋" w:eastAsia="仿宋" w:cs="仿宋"/>
          <w:i w:val="0"/>
          <w:color w:val="000000"/>
          <w:spacing w:val="-6"/>
          <w:sz w:val="32"/>
          <w:szCs w:val="32"/>
          <w:highlight w:val="none"/>
          <w:lang w:eastAsia="zh-CN"/>
        </w:rPr>
        <w:t xml:space="preserve"> </w:t>
      </w:r>
      <w:r>
        <w:rPr>
          <w:rFonts w:ascii="Times New Roman" w:hAnsi="Times New Roman" w:eastAsia="仿宋_GB2312" w:cs="仿宋_GB2312"/>
          <w:i w:val="0"/>
          <w:color w:val="000000"/>
          <w:sz w:val="32"/>
          <w:szCs w:val="32"/>
          <w:highlight w:val="none"/>
        </w:rPr>
        <w:t>项目完成后，所有服务成果及相关文件的知识产权归天津市第一中心医院所有。</w:t>
      </w:r>
    </w:p>
    <w:p w14:paraId="5E0AADED">
      <w:pPr>
        <w:pStyle w:val="12"/>
        <w:numPr>
          <w:ilvl w:val="0"/>
          <w:numId w:val="0"/>
        </w:numPr>
        <w:ind w:left="0" w:leftChars="0" w:firstLine="616"/>
        <w:rPr>
          <w:rFonts w:ascii="Times New Roman" w:hAnsi="Times New Roman" w:eastAsia="仿宋_GB2312" w:cs="仿宋_GB2312"/>
          <w:b w:val="0"/>
          <w:i w:val="0"/>
          <w:color w:val="000000"/>
          <w:sz w:val="32"/>
          <w:szCs w:val="32"/>
          <w:highlight w:val="none"/>
        </w:rPr>
      </w:pPr>
      <w:r>
        <w:rPr>
          <w:rFonts w:hint="eastAsia" w:cs="仿宋_GB2312"/>
          <w:i w:val="0"/>
          <w:color w:val="000000"/>
          <w:sz w:val="32"/>
          <w:szCs w:val="32"/>
          <w:highlight w:val="none"/>
          <w:lang w:eastAsia="zh-CN"/>
        </w:rPr>
        <w:t>2.</w:t>
      </w:r>
      <w:r>
        <w:rPr>
          <w:rFonts w:hint="eastAsia" w:ascii="仿宋" w:hAnsi="仿宋" w:eastAsia="仿宋" w:cs="仿宋"/>
          <w:i w:val="0"/>
          <w:color w:val="000000"/>
          <w:spacing w:val="-6"/>
          <w:sz w:val="32"/>
          <w:szCs w:val="32"/>
          <w:highlight w:val="none"/>
          <w:lang w:eastAsia="zh-CN"/>
        </w:rPr>
        <w:t xml:space="preserve"> </w:t>
      </w:r>
      <w:r>
        <w:rPr>
          <w:rFonts w:ascii="Times New Roman" w:hAnsi="Times New Roman" w:eastAsia="仿宋_GB2312" w:cs="仿宋_GB2312"/>
          <w:i w:val="0"/>
          <w:color w:val="000000"/>
          <w:sz w:val="32"/>
          <w:szCs w:val="32"/>
          <w:highlight w:val="none"/>
        </w:rPr>
        <w:t>中标单位需保证所提供的服务及成果不侵犯任何第三方知识产权，若产生相关纠纷，由中标单位承担全部责任。</w:t>
      </w:r>
    </w:p>
    <w:p w14:paraId="5B911131">
      <w:pPr>
        <w:pStyle w:val="12"/>
        <w:numPr>
          <w:ilvl w:val="0"/>
          <w:numId w:val="0"/>
        </w:numPr>
        <w:ind w:left="0" w:leftChars="0" w:firstLine="616"/>
        <w:rPr>
          <w:rFonts w:ascii="Times New Roman" w:hAnsi="Times New Roman" w:eastAsia="仿宋_GB2312" w:cs="仿宋_GB2312"/>
          <w:b w:val="0"/>
          <w:i w:val="0"/>
          <w:color w:val="000000"/>
          <w:sz w:val="32"/>
          <w:szCs w:val="32"/>
          <w:highlight w:val="none"/>
        </w:rPr>
      </w:pPr>
      <w:r>
        <w:rPr>
          <w:rFonts w:hint="eastAsia" w:cs="仿宋_GB2312"/>
          <w:i w:val="0"/>
          <w:color w:val="000000"/>
          <w:sz w:val="32"/>
          <w:szCs w:val="32"/>
          <w:highlight w:val="none"/>
          <w:lang w:eastAsia="zh-CN"/>
        </w:rPr>
        <w:t>3.</w:t>
      </w:r>
      <w:r>
        <w:rPr>
          <w:rFonts w:hint="eastAsia" w:ascii="仿宋" w:hAnsi="仿宋" w:eastAsia="仿宋" w:cs="仿宋"/>
          <w:i w:val="0"/>
          <w:color w:val="000000"/>
          <w:spacing w:val="-6"/>
          <w:sz w:val="32"/>
          <w:szCs w:val="32"/>
          <w:highlight w:val="none"/>
          <w:lang w:eastAsia="zh-CN"/>
        </w:rPr>
        <w:t xml:space="preserve"> </w:t>
      </w:r>
      <w:r>
        <w:rPr>
          <w:rFonts w:ascii="Times New Roman" w:hAnsi="Times New Roman" w:eastAsia="仿宋_GB2312" w:cs="仿宋_GB2312"/>
          <w:i w:val="0"/>
          <w:color w:val="000000"/>
          <w:sz w:val="32"/>
          <w:szCs w:val="32"/>
          <w:highlight w:val="none"/>
        </w:rPr>
        <w:t>中标单位需对服务过程中接触到的医院内部信息、工作资料等严格保密，不得擅自泄露或用于其他用途。</w:t>
      </w:r>
    </w:p>
    <w:p w14:paraId="7FD5C78D">
      <w:pPr>
        <w:pStyle w:val="2"/>
        <w:widowControl/>
        <w:numPr>
          <w:ilvl w:val="0"/>
          <w:numId w:val="0"/>
        </w:numPr>
        <w:topLinePunct w:val="0"/>
        <w:ind w:left="0" w:leftChars="0" w:firstLine="640"/>
        <w:rPr>
          <w:b w:val="0"/>
          <w:highlight w:val="none"/>
        </w:rPr>
      </w:pPr>
      <w:r>
        <w:rPr>
          <w:rFonts w:hint="eastAsia"/>
          <w:highlight w:val="none"/>
          <w:lang w:eastAsia="zh-CN"/>
        </w:rPr>
        <w:t>三、</w:t>
      </w:r>
      <w:r>
        <w:rPr>
          <w:highlight w:val="none"/>
        </w:rPr>
        <w:t>投标人实质性资格要求</w:t>
      </w:r>
    </w:p>
    <w:p w14:paraId="42AE7F04">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（一）</w:t>
      </w:r>
      <w:r>
        <w:rPr>
          <w:rStyle w:val="31"/>
        </w:rPr>
        <w:t>营业执照</w:t>
      </w:r>
      <w:r>
        <w:rPr>
          <w:rFonts w:ascii="Times New Roman" w:hAnsi="Times New Roman" w:eastAsia="仿宋_GB2312" w:cs="仿宋_GB2312"/>
          <w:i w:val="0"/>
          <w:color w:val="000000"/>
          <w:sz w:val="32"/>
          <w:szCs w:val="32"/>
          <w:highlight w:val="none"/>
        </w:rPr>
        <w:t>：营业执照副本或事业单位法人证书或民办非企业单位登记证书或社会团体法人登记证书或基金会法人登记证书扫描件或自然人的身份证明扫描件。</w:t>
      </w:r>
    </w:p>
    <w:p w14:paraId="6EA1333C">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（二）</w:t>
      </w:r>
      <w:r>
        <w:rPr>
          <w:rStyle w:val="31"/>
        </w:rPr>
        <w:t>商业信誉</w:t>
      </w:r>
      <w:r>
        <w:rPr>
          <w:rFonts w:ascii="Times New Roman" w:hAnsi="Times New Roman" w:eastAsia="仿宋_GB2312" w:cs="仿宋_GB2312"/>
          <w:i w:val="0"/>
          <w:color w:val="000000"/>
          <w:sz w:val="32"/>
          <w:szCs w:val="32"/>
          <w:highlight w:val="none"/>
        </w:rPr>
        <w:t>：具有良好的商业信誉和健全的财务会计制度的书面声明。</w:t>
      </w:r>
    </w:p>
    <w:p w14:paraId="49162C92">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（三）</w:t>
      </w:r>
      <w:r>
        <w:rPr>
          <w:rStyle w:val="31"/>
        </w:rPr>
        <w:t>依法纳税</w:t>
      </w:r>
      <w:r>
        <w:rPr>
          <w:rFonts w:ascii="Times New Roman" w:hAnsi="Times New Roman" w:eastAsia="仿宋_GB2312" w:cs="仿宋_GB2312"/>
          <w:i w:val="0"/>
          <w:color w:val="000000"/>
          <w:sz w:val="32"/>
          <w:szCs w:val="32"/>
          <w:highlight w:val="none"/>
        </w:rPr>
        <w:t>：依法缴纳税收和社会保障资金的书面声明。</w:t>
      </w:r>
    </w:p>
    <w:p w14:paraId="43D96A54">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（四）</w:t>
      </w:r>
      <w:r>
        <w:rPr>
          <w:rStyle w:val="31"/>
        </w:rPr>
        <w:t>无重大违法记录</w:t>
      </w:r>
      <w:r>
        <w:rPr>
          <w:rFonts w:ascii="Times New Roman" w:hAnsi="Times New Roman" w:eastAsia="仿宋_GB2312" w:cs="仿宋_GB2312"/>
          <w:i w:val="0"/>
          <w:color w:val="000000"/>
          <w:sz w:val="32"/>
          <w:szCs w:val="32"/>
          <w:highlight w:val="none"/>
        </w:rPr>
        <w:t>：投标截止日前3年在经营活动中没有重大违法记录的书面声明（截至开标日成立不足3年的供应商可提供自成立以来无重大违法记录的书面声明）。</w:t>
      </w:r>
    </w:p>
    <w:p w14:paraId="2CE0EB52">
      <w:pPr>
        <w:pStyle w:val="12"/>
        <w:rPr>
          <w:rFonts w:ascii="Times New Roman" w:hAnsi="Times New Roman" w:eastAsia="仿宋_GB2312" w:cs="仿宋_GB2312"/>
          <w:b/>
          <w:i w:val="0"/>
          <w:color w:val="000000"/>
          <w:sz w:val="32"/>
          <w:szCs w:val="32"/>
          <w:highlight w:val="none"/>
        </w:rPr>
      </w:pPr>
      <w:r>
        <w:rPr>
          <w:rFonts w:ascii="Times New Roman" w:hAnsi="Times New Roman" w:eastAsia="仿宋_GB2312" w:cs="仿宋_GB2312"/>
          <w:b/>
          <w:i w:val="0"/>
          <w:color w:val="000000"/>
          <w:sz w:val="32"/>
          <w:szCs w:val="32"/>
          <w:highlight w:val="none"/>
        </w:rPr>
        <w:t>＊以上内容均需加盖公章。</w:t>
      </w:r>
    </w:p>
    <w:p w14:paraId="0AC50B60">
      <w:pPr>
        <w:pStyle w:val="12"/>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供应商专业资质：投标企业应具备良好的开展成果转化咨询、项目孵育、转化促进、知识产权培训等工作的服务基础，有服务天津市三级公立医院、医学院校成果转化成熟经验的机构优先。</w:t>
      </w:r>
    </w:p>
    <w:p w14:paraId="51C39AC2">
      <w:pPr>
        <w:pStyle w:val="2"/>
        <w:widowControl/>
        <w:numPr>
          <w:ilvl w:val="0"/>
          <w:numId w:val="0"/>
        </w:numPr>
        <w:topLinePunct w:val="0"/>
        <w:ind w:left="0" w:leftChars="0" w:firstLine="640"/>
        <w:rPr>
          <w:b w:val="0"/>
          <w:highlight w:val="none"/>
        </w:rPr>
      </w:pPr>
      <w:r>
        <w:rPr>
          <w:rFonts w:hint="eastAsia"/>
          <w:highlight w:val="none"/>
          <w:lang w:eastAsia="zh-CN"/>
        </w:rPr>
        <w:t>四、</w:t>
      </w:r>
      <w:r>
        <w:rPr>
          <w:highlight w:val="none"/>
        </w:rPr>
        <w:t>报价要求</w:t>
      </w:r>
    </w:p>
    <w:p w14:paraId="2DC1F0EB">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（一）</w:t>
      </w:r>
      <w:r>
        <w:rPr>
          <w:rStyle w:val="31"/>
        </w:rPr>
        <w:t>报价方式</w:t>
      </w:r>
      <w:r>
        <w:rPr>
          <w:rFonts w:ascii="Times New Roman" w:hAnsi="Times New Roman" w:eastAsia="仿宋_GB2312" w:cs="仿宋_GB2312"/>
          <w:i w:val="0"/>
          <w:color w:val="000000"/>
          <w:sz w:val="32"/>
          <w:szCs w:val="32"/>
          <w:highlight w:val="none"/>
        </w:rPr>
        <w:t>：本项目采用固定总价包干的报价方式。投标人应根据招标文件所规定的服务内容及服务要求，结合自身成本及市</w:t>
      </w:r>
      <w:r>
        <w:rPr>
          <w:rFonts w:ascii="Times New Roman" w:hAnsi="Times New Roman" w:eastAsia="仿宋_GB2312" w:cs="仿宋_GB2312"/>
          <w:i w:val="0"/>
          <w:color w:val="000000"/>
          <w:spacing wpsCustomData:val="-6" w:val="4"/>
          <w:sz w:val="32"/>
          <w:szCs w:val="32"/>
          <w:highlight w:val="none"/>
        </w:rPr>
        <w:t>场行情，一次性报出完成本项目全部服务内容所涉及的所</w:t>
      </w:r>
      <w:r>
        <w:rPr>
          <w:rFonts w:ascii="Times New Roman" w:hAnsi="Times New Roman" w:eastAsia="仿宋_GB2312" w:cs="仿宋_GB2312"/>
          <w:i w:val="0"/>
          <w:color w:val="000000"/>
          <w:spacing wpsCustomData:val="-6" w:val="-6"/>
          <w:sz w:val="32"/>
          <w:szCs w:val="32"/>
          <w:highlight w:val="none"/>
        </w:rPr>
        <w:t>有</w:t>
      </w:r>
      <w:r>
        <w:rPr>
          <w:rFonts w:ascii="Times New Roman" w:hAnsi="Times New Roman" w:eastAsia="仿宋_GB2312" w:cs="仿宋_GB2312"/>
          <w:i w:val="0"/>
          <w:color w:val="000000"/>
          <w:sz w:val="32"/>
          <w:szCs w:val="32"/>
          <w:highlight w:val="none"/>
        </w:rPr>
        <w:t>费用。</w:t>
      </w:r>
    </w:p>
    <w:p w14:paraId="69CAA98B">
      <w:pPr>
        <w:pStyle w:val="12"/>
        <w:numPr>
          <w:ilvl w:val="0"/>
          <w:numId w:val="0"/>
        </w:numPr>
        <w:topLinePunct w:val="0"/>
        <w:ind w:left="0" w:leftChars="0" w:firstLine="616"/>
        <w:rPr>
          <w:rFonts w:ascii="Times New Roman" w:hAnsi="Times New Roman" w:eastAsia="仿宋_GB2312" w:cs="仿宋_GB2312"/>
          <w:b w:val="0"/>
          <w:i w:val="0"/>
          <w:color w:val="auto"/>
          <w:sz w:val="32"/>
          <w:szCs w:val="32"/>
          <w:highlight w:val="none"/>
        </w:rPr>
      </w:pPr>
      <w:r>
        <w:rPr>
          <w:rStyle w:val="31"/>
          <w:rFonts w:hint="eastAsia" w:eastAsia="楷体_GB2312"/>
          <w:lang w:eastAsia="zh-CN"/>
        </w:rPr>
        <w:t>（二）</w:t>
      </w:r>
      <w:r>
        <w:rPr>
          <w:rStyle w:val="31"/>
        </w:rPr>
        <w:t>报价文件</w:t>
      </w:r>
      <w:r>
        <w:rPr>
          <w:rFonts w:ascii="Times New Roman" w:hAnsi="Times New Roman" w:eastAsia="仿宋_GB2312" w:cs="仿宋_GB2312"/>
          <w:i w:val="0"/>
          <w:color w:val="000000"/>
          <w:sz w:val="32"/>
          <w:szCs w:val="32"/>
          <w:highlight w:val="none"/>
        </w:rPr>
        <w:t>：报价单需加盖投标单位公章，明确总报价金额，随其他投标材料一并提交。</w:t>
      </w:r>
    </w:p>
    <w:p w14:paraId="4FF77615">
      <w:pPr>
        <w:pStyle w:val="2"/>
        <w:widowControl/>
        <w:numPr>
          <w:ilvl w:val="0"/>
          <w:numId w:val="0"/>
        </w:numPr>
        <w:topLinePunct w:val="0"/>
        <w:ind w:left="0" w:leftChars="0" w:firstLine="640"/>
        <w:rPr>
          <w:b w:val="0"/>
          <w:highlight w:val="none"/>
        </w:rPr>
      </w:pPr>
      <w:r>
        <w:rPr>
          <w:rFonts w:hint="eastAsia"/>
          <w:highlight w:val="none"/>
          <w:lang w:eastAsia="zh-CN"/>
        </w:rPr>
        <w:t>五、</w:t>
      </w:r>
      <w:r>
        <w:rPr>
          <w:highlight w:val="none"/>
        </w:rPr>
        <w:t>评标方法及评审因素与标准</w:t>
      </w:r>
    </w:p>
    <w:p w14:paraId="4997FD05">
      <w:pPr>
        <w:pStyle w:val="3"/>
        <w:widowControl/>
        <w:numPr>
          <w:ilvl w:val="0"/>
          <w:numId w:val="0"/>
        </w:numPr>
        <w:topLinePunct w:val="0"/>
        <w:ind w:left="0" w:leftChars="0" w:firstLine="640"/>
        <w:rPr>
          <w:rFonts w:hint="eastAsia" w:ascii="楷体_GB2312" w:hAnsi="楷体_GB2312" w:eastAsia="楷体_GB2312" w:cs="楷体_GB2312"/>
          <w:b w:val="0"/>
          <w:highlight w:val="none"/>
        </w:rPr>
      </w:pPr>
      <w:r>
        <w:rPr>
          <w:rFonts w:hint="eastAsia"/>
          <w:highlight w:val="none"/>
          <w:lang w:eastAsia="zh-CN"/>
        </w:rPr>
        <w:t>（一）</w:t>
      </w:r>
      <w:r>
        <w:rPr>
          <w:highlight w:val="none"/>
        </w:rPr>
        <w:t>采用 “综合评分法” 的评标方法</w:t>
      </w:r>
    </w:p>
    <w:p w14:paraId="37529866">
      <w:pPr>
        <w:pStyle w:val="12"/>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评标采用百分制，各评委独立分别对实质上响应比选文件进行逐项打分，对评标委员会各成员每一因素的打分汇总后取算术平均分，该平均分为投标人的得分。</w:t>
      </w:r>
    </w:p>
    <w:p w14:paraId="232F0BD5">
      <w:pPr>
        <w:pStyle w:val="3"/>
        <w:widowControl/>
        <w:numPr>
          <w:ilvl w:val="0"/>
          <w:numId w:val="0"/>
        </w:numPr>
        <w:topLinePunct w:val="0"/>
        <w:ind w:left="0" w:leftChars="0" w:firstLine="640"/>
        <w:rPr>
          <w:rFonts w:hint="eastAsia" w:ascii="楷体_GB2312" w:hAnsi="楷体_GB2312" w:eastAsia="楷体_GB2312" w:cs="楷体_GB2312"/>
          <w:b w:val="0"/>
          <w:highlight w:val="none"/>
        </w:rPr>
      </w:pPr>
      <w:r>
        <w:rPr>
          <w:rFonts w:hint="eastAsia"/>
          <w:highlight w:val="none"/>
          <w:lang w:eastAsia="zh-CN"/>
        </w:rPr>
        <w:t>（二）</w:t>
      </w:r>
      <w:r>
        <w:rPr>
          <w:highlight w:val="none"/>
        </w:rPr>
        <w:t>评审因素与标准</w:t>
      </w:r>
    </w:p>
    <w:p w14:paraId="55C3A201">
      <w:pPr>
        <w:pStyle w:val="12"/>
        <w:numPr>
          <w:ilvl w:val="0"/>
          <w:numId w:val="0"/>
        </w:numPr>
        <w:ind w:left="0" w:leftChars="0" w:firstLine="616"/>
        <w:rPr>
          <w:rFonts w:ascii="Times New Roman" w:hAnsi="Times New Roman" w:eastAsia="仿宋_GB2312" w:cs="仿宋_GB2312"/>
          <w:b w:val="0"/>
          <w:i w:val="0"/>
          <w:color w:val="auto"/>
          <w:sz w:val="32"/>
          <w:szCs w:val="32"/>
          <w:highlight w:val="none"/>
        </w:rPr>
      </w:pPr>
      <w:r>
        <w:rPr>
          <w:rStyle w:val="32"/>
          <w:rFonts w:hint="eastAsia"/>
          <w:lang w:eastAsia="zh-CN"/>
        </w:rPr>
        <w:t>1.</w:t>
      </w:r>
      <w:r>
        <w:rPr>
          <w:rFonts w:hint="eastAsia" w:ascii="仿宋" w:hAnsi="仿宋" w:eastAsia="仿宋" w:cs="仿宋"/>
          <w:spacing w:val="-6"/>
          <w:sz w:val="32"/>
          <w:szCs w:val="32"/>
          <w:lang w:eastAsia="zh-CN"/>
        </w:rPr>
        <w:t xml:space="preserve"> </w:t>
      </w:r>
      <w:r>
        <w:rPr>
          <w:rStyle w:val="32"/>
        </w:rPr>
        <w:t>评审原则</w:t>
      </w:r>
      <w:r>
        <w:rPr>
          <w:rFonts w:ascii="Times New Roman" w:hAnsi="Times New Roman" w:eastAsia="仿宋_GB2312" w:cs="仿宋_GB2312"/>
          <w:i w:val="0"/>
          <w:color w:val="000000"/>
          <w:sz w:val="32"/>
          <w:szCs w:val="32"/>
          <w:highlight w:val="none"/>
        </w:rPr>
        <w:t>：由医院组织评审小组，按照公平、公正、科学择优的原则，对投标文件进行综合评审，重点考量报价合理性、技术方案可行性、团队资质、过往业绩等因素。</w:t>
      </w:r>
    </w:p>
    <w:p w14:paraId="3479ACD0">
      <w:pPr>
        <w:pStyle w:val="4"/>
        <w:numPr>
          <w:ilvl w:val="0"/>
          <w:numId w:val="0"/>
        </w:numPr>
        <w:bidi w:val="0"/>
        <w:ind w:left="0" w:leftChars="0" w:firstLine="616"/>
        <w:rPr>
          <w:b w:val="0"/>
          <w:highlight w:val="none"/>
        </w:rPr>
      </w:pPr>
      <w:r>
        <w:rPr>
          <w:rFonts w:hint="eastAsia"/>
          <w:lang w:eastAsia="zh-CN"/>
        </w:rPr>
        <w:t>2.</w:t>
      </w:r>
      <w:r>
        <w:rPr>
          <w:rFonts w:hint="eastAsia" w:ascii="仿宋" w:hAnsi="仿宋" w:eastAsia="仿宋" w:cs="仿宋"/>
          <w:sz w:val="32"/>
          <w:szCs w:val="32"/>
          <w:lang w:eastAsia="zh-CN"/>
        </w:rPr>
        <w:t xml:space="preserve"> </w:t>
      </w:r>
      <w:r>
        <w:t>评审细则</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984"/>
        <w:gridCol w:w="7032"/>
      </w:tblGrid>
      <w:tr w14:paraId="309A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14659">
            <w:pPr>
              <w:keepNext w:val="0"/>
              <w:keepLines w:val="0"/>
              <w:widowControl/>
              <w:suppressLineNumbers w:val="0"/>
              <w:jc w:val="center"/>
              <w:textAlignment w:val="center"/>
              <w:rPr>
                <w:rFonts w:hint="eastAsia" w:ascii="宋体" w:hAnsi="宋体" w:eastAsia="宋体" w:cs="宋体"/>
                <w:b/>
                <w:bCs/>
                <w:i w:val="0"/>
                <w:iCs w:val="0"/>
                <w:color w:val="0F1115"/>
                <w:sz w:val="28"/>
                <w:szCs w:val="28"/>
                <w:highlight w:val="none"/>
                <w:u w:val="none"/>
              </w:rPr>
            </w:pPr>
            <w:r>
              <w:rPr>
                <w:rFonts w:hint="eastAsia" w:ascii="宋体" w:hAnsi="宋体" w:eastAsia="宋体" w:cs="宋体"/>
                <w:b/>
                <w:bCs/>
                <w:i w:val="0"/>
                <w:iCs w:val="0"/>
                <w:color w:val="0F1115"/>
                <w:kern w:val="0"/>
                <w:sz w:val="28"/>
                <w:szCs w:val="28"/>
                <w:highlight w:val="none"/>
                <w:u w:val="none"/>
                <w:lang w:val="en-US" w:eastAsia="zh-CN" w:bidi="ar"/>
              </w:rPr>
              <w:t>评审内容</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CACC4">
            <w:pPr>
              <w:keepNext w:val="0"/>
              <w:keepLines w:val="0"/>
              <w:widowControl/>
              <w:suppressLineNumbers w:val="0"/>
              <w:jc w:val="center"/>
              <w:textAlignment w:val="center"/>
              <w:rPr>
                <w:rFonts w:hint="eastAsia" w:ascii="宋体" w:hAnsi="宋体" w:eastAsia="宋体" w:cs="宋体"/>
                <w:b/>
                <w:bCs/>
                <w:i w:val="0"/>
                <w:iCs w:val="0"/>
                <w:color w:val="0F1115"/>
                <w:sz w:val="28"/>
                <w:szCs w:val="28"/>
                <w:highlight w:val="none"/>
                <w:u w:val="none"/>
              </w:rPr>
            </w:pPr>
            <w:r>
              <w:rPr>
                <w:rFonts w:hint="eastAsia" w:ascii="宋体" w:hAnsi="宋体" w:eastAsia="宋体" w:cs="宋体"/>
                <w:b/>
                <w:bCs/>
                <w:i w:val="0"/>
                <w:iCs w:val="0"/>
                <w:color w:val="0F1115"/>
                <w:kern w:val="0"/>
                <w:sz w:val="28"/>
                <w:szCs w:val="28"/>
                <w:highlight w:val="none"/>
                <w:u w:val="none"/>
                <w:lang w:val="en-US" w:eastAsia="zh-CN" w:bidi="ar"/>
              </w:rPr>
              <w:t>分值</w:t>
            </w: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763C2">
            <w:pPr>
              <w:keepNext w:val="0"/>
              <w:keepLines w:val="0"/>
              <w:widowControl/>
              <w:suppressLineNumbers w:val="0"/>
              <w:jc w:val="center"/>
              <w:textAlignment w:val="center"/>
              <w:rPr>
                <w:rFonts w:hint="eastAsia" w:ascii="宋体" w:hAnsi="宋体" w:eastAsia="宋体" w:cs="宋体"/>
                <w:b/>
                <w:bCs/>
                <w:i w:val="0"/>
                <w:iCs w:val="0"/>
                <w:color w:val="0F1115"/>
                <w:sz w:val="28"/>
                <w:szCs w:val="28"/>
                <w:highlight w:val="none"/>
                <w:u w:val="none"/>
              </w:rPr>
            </w:pPr>
            <w:r>
              <w:rPr>
                <w:rFonts w:hint="eastAsia" w:ascii="宋体" w:hAnsi="宋体" w:eastAsia="宋体" w:cs="宋体"/>
                <w:b/>
                <w:bCs/>
                <w:i w:val="0"/>
                <w:iCs w:val="0"/>
                <w:color w:val="0F1115"/>
                <w:kern w:val="0"/>
                <w:sz w:val="28"/>
                <w:szCs w:val="28"/>
                <w:highlight w:val="none"/>
                <w:u w:val="none"/>
                <w:lang w:val="en-US" w:eastAsia="zh-CN" w:bidi="ar"/>
              </w:rPr>
              <w:t>评审标准</w:t>
            </w:r>
          </w:p>
        </w:tc>
      </w:tr>
      <w:tr w14:paraId="6721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235392">
            <w:pPr>
              <w:keepNext w:val="0"/>
              <w:keepLines w:val="0"/>
              <w:widowControl/>
              <w:suppressLineNumbers w:val="0"/>
              <w:jc w:val="left"/>
              <w:textAlignment w:val="center"/>
              <w:rPr>
                <w:rFonts w:hint="eastAsia" w:ascii="宋体" w:hAnsi="宋体" w:eastAsia="宋体" w:cs="宋体"/>
                <w:b/>
                <w:bCs/>
                <w:i w:val="0"/>
                <w:iCs w:val="0"/>
                <w:color w:val="0F1115"/>
                <w:sz w:val="28"/>
                <w:szCs w:val="28"/>
                <w:highlight w:val="none"/>
                <w:u w:val="none"/>
              </w:rPr>
            </w:pPr>
            <w:r>
              <w:rPr>
                <w:rFonts w:hint="eastAsia" w:ascii="宋体" w:hAnsi="宋体" w:eastAsia="宋体" w:cs="宋体"/>
                <w:b/>
                <w:bCs/>
                <w:i w:val="0"/>
                <w:iCs w:val="0"/>
                <w:color w:val="0F1115"/>
                <w:kern w:val="0"/>
                <w:sz w:val="28"/>
                <w:szCs w:val="28"/>
                <w:highlight w:val="none"/>
                <w:u w:val="none"/>
                <w:lang w:val="en-US" w:eastAsia="zh-CN" w:bidi="ar"/>
              </w:rPr>
              <w:t>第一部分</w:t>
            </w:r>
            <w:r>
              <w:rPr>
                <w:rStyle w:val="22"/>
                <w:rFonts w:eastAsia="宋体"/>
                <w:highlight w:val="none"/>
                <w:lang w:val="en-US" w:eastAsia="zh-CN" w:bidi="ar"/>
              </w:rPr>
              <w:t xml:space="preserve"> </w:t>
            </w:r>
            <w:r>
              <w:rPr>
                <w:rStyle w:val="23"/>
                <w:highlight w:val="none"/>
                <w:lang w:val="en-US" w:eastAsia="zh-CN" w:bidi="ar"/>
              </w:rPr>
              <w:t>价格分（</w:t>
            </w:r>
            <w:r>
              <w:rPr>
                <w:rStyle w:val="22"/>
                <w:rFonts w:eastAsia="宋体"/>
                <w:highlight w:val="none"/>
                <w:lang w:val="en-US" w:eastAsia="zh-CN" w:bidi="ar"/>
              </w:rPr>
              <w:t>30</w:t>
            </w:r>
            <w:r>
              <w:rPr>
                <w:rStyle w:val="23"/>
                <w:highlight w:val="none"/>
                <w:lang w:val="en-US" w:eastAsia="zh-CN" w:bidi="ar"/>
              </w:rPr>
              <w:t>分）</w:t>
            </w:r>
          </w:p>
        </w:tc>
      </w:tr>
      <w:tr w14:paraId="6723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727C2A">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价格</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C1792D">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30</w:t>
            </w:r>
            <w:r>
              <w:rPr>
                <w:rStyle w:val="24"/>
                <w:highlight w:val="none"/>
                <w:lang w:val="en-US" w:eastAsia="zh-CN" w:bidi="ar"/>
              </w:rPr>
              <w:t>分</w:t>
            </w: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CB804">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1. </w:t>
            </w:r>
            <w:r>
              <w:rPr>
                <w:rStyle w:val="24"/>
                <w:highlight w:val="none"/>
                <w:lang w:val="en-US" w:eastAsia="zh-CN" w:bidi="ar"/>
              </w:rPr>
              <w:t>投标报价超过最高限价（</w:t>
            </w:r>
            <w:r>
              <w:rPr>
                <w:rStyle w:val="25"/>
                <w:rFonts w:eastAsia="宋体"/>
                <w:highlight w:val="none"/>
                <w:lang w:val="en-US" w:eastAsia="zh-CN" w:bidi="ar"/>
              </w:rPr>
              <w:t>60</w:t>
            </w:r>
            <w:r>
              <w:rPr>
                <w:rStyle w:val="25"/>
                <w:rFonts w:hint="eastAsia" w:eastAsia="宋体"/>
                <w:highlight w:val="none"/>
                <w:lang w:val="en-US" w:eastAsia="zh-CN" w:bidi="ar"/>
              </w:rPr>
              <w:t>，</w:t>
            </w:r>
            <w:r>
              <w:rPr>
                <w:rStyle w:val="25"/>
                <w:rFonts w:eastAsia="宋体"/>
                <w:highlight w:val="none"/>
                <w:lang w:val="en-US" w:eastAsia="zh-CN" w:bidi="ar"/>
              </w:rPr>
              <w:t>000</w:t>
            </w:r>
            <w:r>
              <w:rPr>
                <w:rStyle w:val="24"/>
                <w:highlight w:val="none"/>
                <w:lang w:val="en-US" w:eastAsia="zh-CN" w:bidi="ar"/>
              </w:rPr>
              <w:t>元）的，投标无效；</w:t>
            </w:r>
          </w:p>
        </w:tc>
      </w:tr>
      <w:tr w14:paraId="599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205B0">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7C097">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F345F">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2. </w:t>
            </w:r>
            <w:r>
              <w:rPr>
                <w:rStyle w:val="24"/>
                <w:highlight w:val="none"/>
                <w:lang w:val="en-US" w:eastAsia="zh-CN" w:bidi="ar"/>
              </w:rPr>
              <w:t>未超过最高限价的投标报价按以下公式计算得分：投标报价得分</w:t>
            </w:r>
            <w:r>
              <w:rPr>
                <w:rStyle w:val="25"/>
                <w:rFonts w:eastAsia="宋体"/>
                <w:highlight w:val="none"/>
                <w:lang w:val="en-US" w:eastAsia="zh-CN" w:bidi="ar"/>
              </w:rPr>
              <w:t xml:space="preserve"> </w:t>
            </w:r>
            <w:r>
              <w:rPr>
                <w:rStyle w:val="25"/>
                <w:rFonts w:hint="eastAsia" w:eastAsia="宋体"/>
                <w:highlight w:val="none"/>
                <w:lang w:val="en-US" w:eastAsia="zh-CN" w:bidi="ar"/>
              </w:rPr>
              <w:t>＝</w:t>
            </w:r>
            <w:r>
              <w:rPr>
                <w:rStyle w:val="24"/>
                <w:highlight w:val="none"/>
                <w:lang w:val="en-US" w:eastAsia="zh-CN" w:bidi="ar"/>
              </w:rPr>
              <w:t>（评标基准价</w:t>
            </w:r>
            <w:r>
              <w:rPr>
                <w:rStyle w:val="25"/>
                <w:rFonts w:eastAsia="宋体"/>
                <w:highlight w:val="none"/>
                <w:lang w:val="en-US" w:eastAsia="zh-CN" w:bidi="ar"/>
              </w:rPr>
              <w:t xml:space="preserve"> </w:t>
            </w:r>
            <w:r>
              <w:rPr>
                <w:rStyle w:val="25"/>
                <w:rFonts w:hint="eastAsia" w:eastAsia="宋体"/>
                <w:highlight w:val="none"/>
                <w:lang w:val="en-US" w:eastAsia="zh-CN" w:bidi="ar"/>
              </w:rPr>
              <w:t>／</w:t>
            </w:r>
            <w:r>
              <w:rPr>
                <w:rStyle w:val="25"/>
                <w:rFonts w:eastAsia="宋体"/>
                <w:highlight w:val="none"/>
                <w:lang w:val="en-US" w:eastAsia="zh-CN" w:bidi="ar"/>
              </w:rPr>
              <w:t xml:space="preserve"> </w:t>
            </w:r>
            <w:r>
              <w:rPr>
                <w:rStyle w:val="24"/>
                <w:highlight w:val="none"/>
                <w:lang w:val="en-US" w:eastAsia="zh-CN" w:bidi="ar"/>
              </w:rPr>
              <w:t>投标报价）</w:t>
            </w:r>
            <w:r>
              <w:rPr>
                <w:rStyle w:val="25"/>
                <w:rFonts w:eastAsia="宋体"/>
                <w:highlight w:val="none"/>
                <w:lang w:val="en-US" w:eastAsia="zh-CN" w:bidi="ar"/>
              </w:rPr>
              <w:t>× 30</w:t>
            </w:r>
            <w:r>
              <w:rPr>
                <w:rStyle w:val="24"/>
                <w:highlight w:val="none"/>
                <w:lang w:val="en-US" w:eastAsia="zh-CN" w:bidi="ar"/>
              </w:rPr>
              <w:t>；</w:t>
            </w:r>
          </w:p>
        </w:tc>
      </w:tr>
      <w:tr w14:paraId="1B48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063ACE">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2BAE5">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48435">
            <w:pPr>
              <w:keepNext w:val="0"/>
              <w:keepLines w:val="0"/>
              <w:widowControl/>
              <w:suppressLineNumbers w:val="0"/>
              <w:jc w:val="left"/>
              <w:textAlignment w:val="center"/>
              <w:rPr>
                <w:rFonts w:hint="eastAsia" w:ascii="宋体" w:hAnsi="宋体" w:eastAsia="宋体" w:cs="宋体"/>
                <w:i w:val="0"/>
                <w:iCs w:val="0"/>
                <w:color w:val="0F1115"/>
                <w:sz w:val="24"/>
                <w:szCs w:val="24"/>
                <w:highlight w:val="none"/>
                <w:u w:val="none"/>
              </w:rPr>
            </w:pPr>
            <w:r>
              <w:rPr>
                <w:rFonts w:hint="eastAsia" w:ascii="宋体" w:hAnsi="宋体" w:eastAsia="宋体" w:cs="宋体"/>
                <w:i w:val="0"/>
                <w:iCs w:val="0"/>
                <w:color w:val="0F1115"/>
                <w:kern w:val="0"/>
                <w:sz w:val="24"/>
                <w:szCs w:val="24"/>
                <w:highlight w:val="none"/>
                <w:u w:val="none"/>
                <w:lang w:val="en-US" w:eastAsia="zh-CN" w:bidi="ar"/>
              </w:rPr>
              <w:t>注：满足招标文件要求且投标报价最低的投标报价为评标基准价。</w:t>
            </w:r>
          </w:p>
        </w:tc>
      </w:tr>
      <w:tr w14:paraId="40F9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F0A80F">
            <w:pPr>
              <w:keepNext w:val="0"/>
              <w:keepLines w:val="0"/>
              <w:widowControl/>
              <w:suppressLineNumbers w:val="0"/>
              <w:jc w:val="left"/>
              <w:textAlignment w:val="center"/>
              <w:rPr>
                <w:rFonts w:hint="eastAsia" w:ascii="宋体" w:hAnsi="宋体" w:eastAsia="宋体" w:cs="宋体"/>
                <w:b/>
                <w:bCs/>
                <w:i w:val="0"/>
                <w:iCs w:val="0"/>
                <w:color w:val="0F1115"/>
                <w:sz w:val="28"/>
                <w:szCs w:val="28"/>
                <w:highlight w:val="none"/>
                <w:u w:val="none"/>
              </w:rPr>
            </w:pPr>
            <w:r>
              <w:rPr>
                <w:rFonts w:hint="eastAsia" w:ascii="宋体" w:hAnsi="宋体" w:eastAsia="宋体" w:cs="宋体"/>
                <w:b/>
                <w:bCs/>
                <w:i w:val="0"/>
                <w:iCs w:val="0"/>
                <w:color w:val="0F1115"/>
                <w:kern w:val="0"/>
                <w:sz w:val="28"/>
                <w:szCs w:val="28"/>
                <w:highlight w:val="none"/>
                <w:u w:val="none"/>
                <w:lang w:val="en-US" w:eastAsia="zh-CN" w:bidi="ar"/>
              </w:rPr>
              <w:t>第二部分</w:t>
            </w:r>
            <w:r>
              <w:rPr>
                <w:rStyle w:val="22"/>
                <w:rFonts w:eastAsia="宋体"/>
                <w:highlight w:val="none"/>
                <w:lang w:val="en-US" w:eastAsia="zh-CN" w:bidi="ar"/>
              </w:rPr>
              <w:t xml:space="preserve"> </w:t>
            </w:r>
            <w:r>
              <w:rPr>
                <w:rStyle w:val="23"/>
                <w:highlight w:val="none"/>
                <w:lang w:val="en-US" w:eastAsia="zh-CN" w:bidi="ar"/>
              </w:rPr>
              <w:t>客观分（45分）</w:t>
            </w:r>
          </w:p>
        </w:tc>
      </w:tr>
      <w:tr w14:paraId="7C76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25C5D">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资质符合性</w:t>
            </w:r>
          </w:p>
        </w:tc>
        <w:tc>
          <w:tcPr>
            <w:tcW w:w="5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1B6E6">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15</w:t>
            </w:r>
            <w:r>
              <w:rPr>
                <w:rStyle w:val="24"/>
                <w:highlight w:val="none"/>
                <w:lang w:val="en-US" w:eastAsia="zh-CN" w:bidi="ar"/>
              </w:rPr>
              <w:t>分</w:t>
            </w: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9044F">
            <w:pPr>
              <w:keepNext w:val="0"/>
              <w:keepLines w:val="0"/>
              <w:widowControl/>
              <w:suppressLineNumbers w:val="0"/>
              <w:jc w:val="left"/>
              <w:textAlignment w:val="center"/>
              <w:rPr>
                <w:rFonts w:hint="eastAsia" w:ascii="宋体" w:hAnsi="宋体" w:eastAsia="宋体" w:cs="宋体"/>
                <w:i w:val="0"/>
                <w:iCs w:val="0"/>
                <w:color w:val="0F1115"/>
                <w:sz w:val="24"/>
                <w:szCs w:val="24"/>
                <w:highlight w:val="none"/>
                <w:u w:val="none"/>
              </w:rPr>
            </w:pPr>
            <w:r>
              <w:rPr>
                <w:rFonts w:hint="eastAsia" w:ascii="宋体" w:hAnsi="宋体" w:eastAsia="宋体" w:cs="宋体"/>
                <w:i w:val="0"/>
                <w:iCs w:val="0"/>
                <w:color w:val="0F1115"/>
                <w:kern w:val="0"/>
                <w:sz w:val="24"/>
                <w:szCs w:val="24"/>
                <w:highlight w:val="none"/>
                <w:u w:val="none"/>
                <w:lang w:val="en-US" w:eastAsia="zh-CN" w:bidi="ar"/>
              </w:rPr>
              <w:t>1.完全满足投标人资格要求，且资质齐全、有效的得</w:t>
            </w:r>
            <w:r>
              <w:rPr>
                <w:rStyle w:val="25"/>
                <w:rFonts w:eastAsia="宋体"/>
                <w:highlight w:val="none"/>
                <w:lang w:val="en-US" w:eastAsia="zh-CN" w:bidi="ar"/>
              </w:rPr>
              <w:t>15</w:t>
            </w:r>
            <w:r>
              <w:rPr>
                <w:rStyle w:val="24"/>
                <w:highlight w:val="none"/>
                <w:lang w:val="en-US" w:eastAsia="zh-CN" w:bidi="ar"/>
              </w:rPr>
              <w:t>分；</w:t>
            </w:r>
            <w:r>
              <w:rPr>
                <w:rStyle w:val="24"/>
                <w:highlight w:val="none"/>
                <w:lang w:val="en-US" w:eastAsia="zh-CN" w:bidi="ar"/>
              </w:rPr>
              <w:br w:type="textWrapping"/>
            </w:r>
            <w:r>
              <w:rPr>
                <w:rStyle w:val="24"/>
                <w:highlight w:val="none"/>
                <w:lang w:val="en-US" w:eastAsia="zh-CN" w:bidi="ar"/>
              </w:rPr>
              <w:t>2.每缺一项必备资质或资质无效的，扣</w:t>
            </w:r>
            <w:r>
              <w:rPr>
                <w:rStyle w:val="25"/>
                <w:rFonts w:eastAsia="宋体"/>
                <w:highlight w:val="none"/>
                <w:lang w:val="en-US" w:eastAsia="zh-CN" w:bidi="ar"/>
              </w:rPr>
              <w:t>5</w:t>
            </w:r>
            <w:r>
              <w:rPr>
                <w:rStyle w:val="24"/>
                <w:highlight w:val="none"/>
                <w:lang w:val="en-US" w:eastAsia="zh-CN" w:bidi="ar"/>
              </w:rPr>
              <w:t>分，最低</w:t>
            </w:r>
            <w:r>
              <w:rPr>
                <w:rStyle w:val="25"/>
                <w:rFonts w:eastAsia="宋体"/>
                <w:highlight w:val="none"/>
                <w:lang w:val="en-US" w:eastAsia="zh-CN" w:bidi="ar"/>
              </w:rPr>
              <w:t>0</w:t>
            </w:r>
            <w:r>
              <w:rPr>
                <w:rStyle w:val="24"/>
                <w:highlight w:val="none"/>
                <w:lang w:val="en-US" w:eastAsia="zh-CN" w:bidi="ar"/>
              </w:rPr>
              <w:t>分。</w:t>
            </w:r>
          </w:p>
        </w:tc>
      </w:tr>
      <w:tr w14:paraId="12A6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1418ED">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案例业绩</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60AF27">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15</w:t>
            </w:r>
            <w:r>
              <w:rPr>
                <w:rStyle w:val="24"/>
                <w:highlight w:val="none"/>
                <w:lang w:val="en-US" w:eastAsia="zh-CN" w:bidi="ar"/>
              </w:rPr>
              <w:t>分</w:t>
            </w:r>
          </w:p>
        </w:tc>
        <w:tc>
          <w:tcPr>
            <w:tcW w:w="388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40336A">
            <w:pPr>
              <w:keepNext w:val="0"/>
              <w:keepLines w:val="0"/>
              <w:widowControl/>
              <w:suppressLineNumbers w:val="0"/>
              <w:jc w:val="left"/>
              <w:textAlignment w:val="center"/>
              <w:rPr>
                <w:rFonts w:hint="eastAsia" w:ascii="宋体" w:hAnsi="宋体" w:eastAsia="宋体" w:cs="宋体"/>
                <w:b/>
                <w:bCs/>
                <w:i w:val="0"/>
                <w:iCs w:val="0"/>
                <w:color w:val="0F1115"/>
                <w:sz w:val="24"/>
                <w:szCs w:val="24"/>
                <w:highlight w:val="none"/>
                <w:u w:val="none"/>
              </w:rPr>
            </w:pPr>
            <w:r>
              <w:rPr>
                <w:rFonts w:hint="eastAsia" w:ascii="宋体" w:hAnsi="宋体" w:eastAsia="宋体" w:cs="宋体"/>
                <w:b/>
                <w:bCs/>
                <w:i w:val="0"/>
                <w:iCs w:val="0"/>
                <w:color w:val="0F1115"/>
                <w:kern w:val="0"/>
                <w:sz w:val="24"/>
                <w:szCs w:val="24"/>
                <w:highlight w:val="none"/>
                <w:u w:val="none"/>
                <w:lang w:val="en-US" w:eastAsia="zh-CN" w:bidi="ar"/>
              </w:rPr>
              <w:t>提供</w:t>
            </w:r>
            <w:r>
              <w:rPr>
                <w:rStyle w:val="26"/>
                <w:rFonts w:eastAsia="宋体"/>
                <w:highlight w:val="none"/>
                <w:lang w:val="en-US" w:eastAsia="zh-CN" w:bidi="ar"/>
              </w:rPr>
              <w:t>202</w:t>
            </w:r>
            <w:r>
              <w:rPr>
                <w:rStyle w:val="26"/>
                <w:rFonts w:hint="eastAsia" w:eastAsia="宋体"/>
                <w:highlight w:val="none"/>
                <w:lang w:val="en-US" w:eastAsia="zh-CN" w:bidi="ar"/>
              </w:rPr>
              <w:t>3</w:t>
            </w:r>
            <w:r>
              <w:rPr>
                <w:rStyle w:val="27"/>
                <w:highlight w:val="none"/>
                <w:lang w:val="en-US" w:eastAsia="zh-CN" w:bidi="ar"/>
              </w:rPr>
              <w:t>年</w:t>
            </w:r>
            <w:r>
              <w:rPr>
                <w:rStyle w:val="26"/>
                <w:rFonts w:eastAsia="宋体"/>
                <w:highlight w:val="none"/>
                <w:lang w:val="en-US" w:eastAsia="zh-CN" w:bidi="ar"/>
              </w:rPr>
              <w:t>1</w:t>
            </w:r>
            <w:r>
              <w:rPr>
                <w:rStyle w:val="27"/>
                <w:highlight w:val="none"/>
                <w:lang w:val="en-US" w:eastAsia="zh-CN" w:bidi="ar"/>
              </w:rPr>
              <w:t>月</w:t>
            </w:r>
            <w:r>
              <w:rPr>
                <w:rStyle w:val="26"/>
                <w:rFonts w:eastAsia="宋体"/>
                <w:highlight w:val="none"/>
                <w:lang w:val="en-US" w:eastAsia="zh-CN" w:bidi="ar"/>
              </w:rPr>
              <w:t>1</w:t>
            </w:r>
            <w:r>
              <w:rPr>
                <w:rStyle w:val="27"/>
                <w:highlight w:val="none"/>
                <w:lang w:val="en-US" w:eastAsia="zh-CN" w:bidi="ar"/>
              </w:rPr>
              <w:t>日至今已完成或正在履行的科技成果转化服务案例</w:t>
            </w:r>
            <w:r>
              <w:rPr>
                <w:rStyle w:val="24"/>
                <w:highlight w:val="none"/>
                <w:lang w:val="en-US" w:eastAsia="zh-CN" w:bidi="ar"/>
              </w:rPr>
              <w:br w:type="textWrapping"/>
            </w:r>
            <w:r>
              <w:rPr>
                <w:rStyle w:val="25"/>
                <w:rFonts w:eastAsia="宋体"/>
                <w:highlight w:val="none"/>
                <w:lang w:val="en-US" w:eastAsia="zh-CN" w:bidi="ar"/>
              </w:rPr>
              <w:t xml:space="preserve">• </w:t>
            </w:r>
            <w:r>
              <w:rPr>
                <w:rStyle w:val="24"/>
                <w:highlight w:val="none"/>
                <w:lang w:val="en-US" w:eastAsia="zh-CN" w:bidi="ar"/>
              </w:rPr>
              <w:t>每提供</w:t>
            </w:r>
            <w:r>
              <w:rPr>
                <w:rStyle w:val="25"/>
                <w:rFonts w:eastAsia="宋体"/>
                <w:highlight w:val="none"/>
                <w:lang w:val="en-US" w:eastAsia="zh-CN" w:bidi="ar"/>
              </w:rPr>
              <w:t>1</w:t>
            </w:r>
            <w:r>
              <w:rPr>
                <w:rStyle w:val="24"/>
                <w:highlight w:val="none"/>
                <w:lang w:val="en-US" w:eastAsia="zh-CN" w:bidi="ar"/>
              </w:rPr>
              <w:t>个三级医院或医学院校科技成果转化服务案例得</w:t>
            </w:r>
            <w:r>
              <w:rPr>
                <w:rStyle w:val="25"/>
                <w:rFonts w:eastAsia="宋体"/>
                <w:highlight w:val="none"/>
                <w:lang w:val="en-US" w:eastAsia="zh-CN" w:bidi="ar"/>
              </w:rPr>
              <w:t>5</w:t>
            </w:r>
            <w:r>
              <w:rPr>
                <w:rStyle w:val="24"/>
                <w:highlight w:val="none"/>
                <w:lang w:val="en-US" w:eastAsia="zh-CN" w:bidi="ar"/>
              </w:rPr>
              <w:t>分；</w:t>
            </w:r>
            <w:r>
              <w:rPr>
                <w:rStyle w:val="24"/>
                <w:highlight w:val="none"/>
                <w:lang w:val="en-US" w:eastAsia="zh-CN" w:bidi="ar"/>
              </w:rPr>
              <w:br w:type="textWrapping"/>
            </w:r>
            <w:r>
              <w:rPr>
                <w:rStyle w:val="24"/>
                <w:highlight w:val="none"/>
                <w:lang w:val="en-US" w:eastAsia="zh-CN" w:bidi="ar"/>
              </w:rPr>
              <w:t>• 每提供1个其他类型科技成果转化服务案例得3分；</w:t>
            </w:r>
            <w:r>
              <w:rPr>
                <w:rStyle w:val="24"/>
                <w:highlight w:val="none"/>
                <w:lang w:val="en-US" w:eastAsia="zh-CN" w:bidi="ar"/>
              </w:rPr>
              <w:br w:type="textWrapping"/>
            </w:r>
            <w:r>
              <w:rPr>
                <w:rStyle w:val="24"/>
                <w:highlight w:val="none"/>
                <w:lang w:val="en-US" w:eastAsia="zh-CN" w:bidi="ar"/>
              </w:rPr>
              <w:t>• 本项最高15分。</w:t>
            </w:r>
            <w:r>
              <w:rPr>
                <w:rStyle w:val="24"/>
                <w:highlight w:val="none"/>
                <w:lang w:val="en-US" w:eastAsia="zh-CN" w:bidi="ar"/>
              </w:rPr>
              <w:br w:type="textWrapping"/>
            </w:r>
            <w:r>
              <w:rPr>
                <w:rStyle w:val="24"/>
                <w:highlight w:val="none"/>
                <w:lang w:val="en-US" w:eastAsia="zh-CN" w:bidi="ar"/>
              </w:rPr>
              <w:t>注：需提供与案例用户签订的合同证明文件扫描件或复印件（可隐去敏感信息），或案例用户出具的证明函原件扫描件（需用户盖章）。</w:t>
            </w:r>
          </w:p>
        </w:tc>
      </w:tr>
      <w:tr w14:paraId="5DAF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9620A2">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3BFC4">
            <w:pPr>
              <w:jc w:val="center"/>
              <w:rPr>
                <w:rFonts w:hint="default" w:ascii="Times New Roman" w:hAnsi="Times New Roman" w:eastAsia="宋体" w:cs="Times New Roman"/>
                <w:i w:val="0"/>
                <w:iCs w:val="0"/>
                <w:color w:val="0F1115"/>
                <w:sz w:val="24"/>
                <w:szCs w:val="24"/>
                <w:highlight w:val="none"/>
                <w:u w:val="none"/>
              </w:rPr>
            </w:pPr>
          </w:p>
        </w:tc>
        <w:tc>
          <w:tcPr>
            <w:tcW w:w="388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9F41B">
            <w:pPr>
              <w:jc w:val="left"/>
              <w:rPr>
                <w:rFonts w:hint="eastAsia" w:ascii="宋体" w:hAnsi="宋体" w:eastAsia="宋体" w:cs="宋体"/>
                <w:b/>
                <w:bCs/>
                <w:i w:val="0"/>
                <w:iCs w:val="0"/>
                <w:color w:val="0F1115"/>
                <w:sz w:val="24"/>
                <w:szCs w:val="24"/>
                <w:highlight w:val="none"/>
                <w:u w:val="none"/>
              </w:rPr>
            </w:pPr>
          </w:p>
        </w:tc>
      </w:tr>
      <w:tr w14:paraId="5199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75D7F">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74EEF">
            <w:pPr>
              <w:jc w:val="center"/>
              <w:rPr>
                <w:rFonts w:hint="default" w:ascii="Times New Roman" w:hAnsi="Times New Roman" w:eastAsia="宋体" w:cs="Times New Roman"/>
                <w:i w:val="0"/>
                <w:iCs w:val="0"/>
                <w:color w:val="0F1115"/>
                <w:sz w:val="24"/>
                <w:szCs w:val="24"/>
                <w:highlight w:val="none"/>
                <w:u w:val="none"/>
              </w:rPr>
            </w:pPr>
          </w:p>
        </w:tc>
        <w:tc>
          <w:tcPr>
            <w:tcW w:w="388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162EF">
            <w:pPr>
              <w:jc w:val="left"/>
              <w:rPr>
                <w:rFonts w:hint="eastAsia" w:ascii="宋体" w:hAnsi="宋体" w:eastAsia="宋体" w:cs="宋体"/>
                <w:b/>
                <w:bCs/>
                <w:i w:val="0"/>
                <w:iCs w:val="0"/>
                <w:color w:val="0F1115"/>
                <w:sz w:val="24"/>
                <w:szCs w:val="24"/>
                <w:highlight w:val="none"/>
                <w:u w:val="none"/>
              </w:rPr>
            </w:pPr>
          </w:p>
        </w:tc>
      </w:tr>
      <w:tr w14:paraId="1271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B839D">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8CF99">
            <w:pPr>
              <w:jc w:val="center"/>
              <w:rPr>
                <w:rFonts w:hint="default" w:ascii="Times New Roman" w:hAnsi="Times New Roman" w:eastAsia="宋体" w:cs="Times New Roman"/>
                <w:i w:val="0"/>
                <w:iCs w:val="0"/>
                <w:color w:val="0F1115"/>
                <w:sz w:val="24"/>
                <w:szCs w:val="24"/>
                <w:highlight w:val="none"/>
                <w:u w:val="none"/>
              </w:rPr>
            </w:pPr>
          </w:p>
        </w:tc>
        <w:tc>
          <w:tcPr>
            <w:tcW w:w="388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04FF1">
            <w:pPr>
              <w:jc w:val="left"/>
              <w:rPr>
                <w:rFonts w:hint="eastAsia" w:ascii="宋体" w:hAnsi="宋体" w:eastAsia="宋体" w:cs="宋体"/>
                <w:b/>
                <w:bCs/>
                <w:i w:val="0"/>
                <w:iCs w:val="0"/>
                <w:color w:val="0F1115"/>
                <w:sz w:val="24"/>
                <w:szCs w:val="24"/>
                <w:highlight w:val="none"/>
                <w:u w:val="none"/>
              </w:rPr>
            </w:pPr>
          </w:p>
        </w:tc>
      </w:tr>
      <w:tr w14:paraId="1FC4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A6489">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C4652">
            <w:pPr>
              <w:jc w:val="center"/>
              <w:rPr>
                <w:rFonts w:hint="default" w:ascii="Times New Roman" w:hAnsi="Times New Roman" w:eastAsia="宋体" w:cs="Times New Roman"/>
                <w:i w:val="0"/>
                <w:iCs w:val="0"/>
                <w:color w:val="0F1115"/>
                <w:sz w:val="24"/>
                <w:szCs w:val="24"/>
                <w:highlight w:val="none"/>
                <w:u w:val="none"/>
              </w:rPr>
            </w:pPr>
          </w:p>
        </w:tc>
        <w:tc>
          <w:tcPr>
            <w:tcW w:w="388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E612E">
            <w:pPr>
              <w:jc w:val="left"/>
              <w:rPr>
                <w:rFonts w:hint="eastAsia" w:ascii="宋体" w:hAnsi="宋体" w:eastAsia="宋体" w:cs="宋体"/>
                <w:b/>
                <w:bCs/>
                <w:i w:val="0"/>
                <w:iCs w:val="0"/>
                <w:color w:val="0F1115"/>
                <w:sz w:val="24"/>
                <w:szCs w:val="24"/>
                <w:highlight w:val="none"/>
                <w:u w:val="none"/>
              </w:rPr>
            </w:pPr>
          </w:p>
        </w:tc>
      </w:tr>
      <w:tr w14:paraId="5C65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244BF7">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专业能力</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80790D">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15</w:t>
            </w:r>
            <w:r>
              <w:rPr>
                <w:rStyle w:val="24"/>
                <w:highlight w:val="none"/>
                <w:lang w:val="en-US" w:eastAsia="zh-CN" w:bidi="ar"/>
              </w:rPr>
              <w:t>分</w:t>
            </w: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36A48">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1. </w:t>
            </w:r>
            <w:r>
              <w:rPr>
                <w:rStyle w:val="24"/>
                <w:highlight w:val="none"/>
                <w:lang w:val="en-US" w:eastAsia="zh-CN" w:bidi="ar"/>
              </w:rPr>
              <w:t>拥有国家技术转移示范机构资质或已通过省级技术转移机构备案的，得</w:t>
            </w:r>
            <w:r>
              <w:rPr>
                <w:rStyle w:val="25"/>
                <w:rFonts w:eastAsia="宋体"/>
                <w:highlight w:val="none"/>
                <w:lang w:val="en-US" w:eastAsia="zh-CN" w:bidi="ar"/>
              </w:rPr>
              <w:t>5</w:t>
            </w:r>
            <w:r>
              <w:rPr>
                <w:rStyle w:val="24"/>
                <w:highlight w:val="none"/>
                <w:lang w:val="en-US" w:eastAsia="zh-CN" w:bidi="ar"/>
              </w:rPr>
              <w:t>分；</w:t>
            </w:r>
          </w:p>
        </w:tc>
      </w:tr>
      <w:tr w14:paraId="2CE0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4BC37">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06FAB">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111CC">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2. </w:t>
            </w:r>
            <w:r>
              <w:rPr>
                <w:rStyle w:val="24"/>
                <w:highlight w:val="none"/>
                <w:lang w:val="en-US" w:eastAsia="zh-CN" w:bidi="ar"/>
              </w:rPr>
              <w:t>拥有持证技术经纪人</w:t>
            </w:r>
            <w:r>
              <w:rPr>
                <w:rStyle w:val="25"/>
                <w:rFonts w:hint="eastAsia" w:eastAsia="宋体"/>
                <w:highlight w:val="none"/>
                <w:lang w:val="en-US" w:eastAsia="zh-CN" w:bidi="ar"/>
              </w:rPr>
              <w:t>／</w:t>
            </w:r>
            <w:r>
              <w:rPr>
                <w:rStyle w:val="24"/>
                <w:highlight w:val="none"/>
                <w:lang w:val="en-US" w:eastAsia="zh-CN" w:bidi="ar"/>
              </w:rPr>
              <w:t>技术经理人（需提供证书及社保证明），每</w:t>
            </w:r>
            <w:r>
              <w:rPr>
                <w:rStyle w:val="25"/>
                <w:rFonts w:eastAsia="宋体"/>
                <w:highlight w:val="none"/>
                <w:lang w:val="en-US" w:eastAsia="zh-CN" w:bidi="ar"/>
              </w:rPr>
              <w:t>1</w:t>
            </w:r>
            <w:r>
              <w:rPr>
                <w:rStyle w:val="24"/>
                <w:highlight w:val="none"/>
                <w:lang w:val="en-US" w:eastAsia="zh-CN" w:bidi="ar"/>
              </w:rPr>
              <w:t>人得</w:t>
            </w:r>
            <w:r>
              <w:rPr>
                <w:rStyle w:val="25"/>
                <w:rFonts w:eastAsia="宋体"/>
                <w:highlight w:val="none"/>
                <w:lang w:val="en-US" w:eastAsia="zh-CN" w:bidi="ar"/>
              </w:rPr>
              <w:t>2</w:t>
            </w:r>
            <w:r>
              <w:rPr>
                <w:rStyle w:val="24"/>
                <w:highlight w:val="none"/>
                <w:lang w:val="en-US" w:eastAsia="zh-CN" w:bidi="ar"/>
              </w:rPr>
              <w:t>分，最高</w:t>
            </w:r>
            <w:r>
              <w:rPr>
                <w:rStyle w:val="25"/>
                <w:rFonts w:eastAsia="宋体"/>
                <w:highlight w:val="none"/>
                <w:lang w:val="en-US" w:eastAsia="zh-CN" w:bidi="ar"/>
              </w:rPr>
              <w:t>6</w:t>
            </w:r>
            <w:r>
              <w:rPr>
                <w:rStyle w:val="24"/>
                <w:highlight w:val="none"/>
                <w:lang w:val="en-US" w:eastAsia="zh-CN" w:bidi="ar"/>
              </w:rPr>
              <w:t>分；</w:t>
            </w:r>
          </w:p>
        </w:tc>
      </w:tr>
      <w:tr w14:paraId="5A97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2396F">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75C58">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80DBC">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3. </w:t>
            </w:r>
            <w:r>
              <w:rPr>
                <w:rStyle w:val="24"/>
                <w:highlight w:val="none"/>
                <w:lang w:val="en-US" w:eastAsia="zh-CN" w:bidi="ar"/>
              </w:rPr>
              <w:t>具备专利代理资质或与专利代理机构有合作协议的，得</w:t>
            </w:r>
            <w:r>
              <w:rPr>
                <w:rStyle w:val="25"/>
                <w:rFonts w:eastAsia="宋体"/>
                <w:highlight w:val="none"/>
                <w:lang w:val="en-US" w:eastAsia="zh-CN" w:bidi="ar"/>
              </w:rPr>
              <w:t>2</w:t>
            </w:r>
            <w:r>
              <w:rPr>
                <w:rStyle w:val="24"/>
                <w:highlight w:val="none"/>
                <w:lang w:val="en-US" w:eastAsia="zh-CN" w:bidi="ar"/>
              </w:rPr>
              <w:t>分；</w:t>
            </w:r>
          </w:p>
        </w:tc>
      </w:tr>
      <w:tr w14:paraId="1078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F9999">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76B0D8">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EB60A">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4. </w:t>
            </w:r>
            <w:r>
              <w:rPr>
                <w:rStyle w:val="24"/>
                <w:highlight w:val="none"/>
                <w:lang w:val="en-US" w:eastAsia="zh-CN" w:bidi="ar"/>
              </w:rPr>
              <w:t>具备法律</w:t>
            </w:r>
            <w:r>
              <w:rPr>
                <w:rStyle w:val="25"/>
                <w:rFonts w:hint="eastAsia" w:eastAsia="宋体"/>
                <w:highlight w:val="none"/>
                <w:lang w:val="en-US" w:eastAsia="zh-CN" w:bidi="ar"/>
              </w:rPr>
              <w:t>／</w:t>
            </w:r>
            <w:r>
              <w:rPr>
                <w:rStyle w:val="24"/>
                <w:highlight w:val="none"/>
                <w:lang w:val="en-US" w:eastAsia="zh-CN" w:bidi="ar"/>
              </w:rPr>
              <w:t>财税相关资质或与相关机构有合作协议的，得</w:t>
            </w:r>
            <w:r>
              <w:rPr>
                <w:rStyle w:val="25"/>
                <w:rFonts w:eastAsia="宋体"/>
                <w:highlight w:val="none"/>
                <w:lang w:val="en-US" w:eastAsia="zh-CN" w:bidi="ar"/>
              </w:rPr>
              <w:t>2</w:t>
            </w:r>
            <w:r>
              <w:rPr>
                <w:rStyle w:val="24"/>
                <w:highlight w:val="none"/>
                <w:lang w:val="en-US" w:eastAsia="zh-CN" w:bidi="ar"/>
              </w:rPr>
              <w:t>分。</w:t>
            </w:r>
          </w:p>
        </w:tc>
      </w:tr>
      <w:tr w14:paraId="5C7E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7C794">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D4557">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3879E">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注：以上需提供有效证明材料扫描件。</w:t>
            </w:r>
          </w:p>
        </w:tc>
      </w:tr>
      <w:tr w14:paraId="6874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AC3BE9">
            <w:pPr>
              <w:keepNext w:val="0"/>
              <w:keepLines w:val="0"/>
              <w:widowControl/>
              <w:suppressLineNumbers w:val="0"/>
              <w:jc w:val="left"/>
              <w:textAlignment w:val="center"/>
              <w:rPr>
                <w:rFonts w:hint="eastAsia" w:ascii="宋体" w:hAnsi="宋体" w:eastAsia="宋体" w:cs="宋体"/>
                <w:b/>
                <w:bCs/>
                <w:i w:val="0"/>
                <w:iCs w:val="0"/>
                <w:color w:val="0F1115"/>
                <w:sz w:val="28"/>
                <w:szCs w:val="28"/>
                <w:highlight w:val="none"/>
                <w:u w:val="none"/>
              </w:rPr>
            </w:pPr>
            <w:r>
              <w:rPr>
                <w:rFonts w:hint="eastAsia" w:ascii="宋体" w:hAnsi="宋体" w:eastAsia="宋体" w:cs="宋体"/>
                <w:b/>
                <w:bCs/>
                <w:i w:val="0"/>
                <w:iCs w:val="0"/>
                <w:color w:val="0F1115"/>
                <w:kern w:val="0"/>
                <w:sz w:val="28"/>
                <w:szCs w:val="28"/>
                <w:highlight w:val="none"/>
                <w:u w:val="none"/>
                <w:lang w:val="en-US" w:eastAsia="zh-CN" w:bidi="ar"/>
              </w:rPr>
              <w:t>第三部分</w:t>
            </w:r>
            <w:r>
              <w:rPr>
                <w:rStyle w:val="22"/>
                <w:rFonts w:eastAsia="宋体"/>
                <w:highlight w:val="none"/>
                <w:lang w:val="en-US" w:eastAsia="zh-CN" w:bidi="ar"/>
              </w:rPr>
              <w:t xml:space="preserve"> </w:t>
            </w:r>
            <w:r>
              <w:rPr>
                <w:rStyle w:val="23"/>
                <w:highlight w:val="none"/>
                <w:lang w:val="en-US" w:eastAsia="zh-CN" w:bidi="ar"/>
              </w:rPr>
              <w:t>主观分（25分）</w:t>
            </w:r>
          </w:p>
        </w:tc>
      </w:tr>
      <w:tr w14:paraId="3475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52ABFA">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服务方案评价</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9B508C">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18</w:t>
            </w:r>
            <w:r>
              <w:rPr>
                <w:rStyle w:val="24"/>
                <w:highlight w:val="none"/>
                <w:lang w:val="en-US" w:eastAsia="zh-CN" w:bidi="ar"/>
              </w:rPr>
              <w:t>分</w:t>
            </w: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5776E">
            <w:pPr>
              <w:keepNext w:val="0"/>
              <w:keepLines w:val="0"/>
              <w:widowControl/>
              <w:suppressLineNumbers w:val="0"/>
              <w:jc w:val="left"/>
              <w:textAlignment w:val="center"/>
              <w:rPr>
                <w:rFonts w:hint="eastAsia" w:ascii="宋体" w:hAnsi="宋体" w:eastAsia="宋体" w:cs="宋体"/>
                <w:i w:val="0"/>
                <w:iCs w:val="0"/>
                <w:color w:val="0F1115"/>
                <w:sz w:val="24"/>
                <w:szCs w:val="24"/>
                <w:highlight w:val="none"/>
                <w:u w:val="none"/>
              </w:rPr>
            </w:pPr>
            <w:r>
              <w:rPr>
                <w:rFonts w:hint="eastAsia" w:ascii="宋体" w:hAnsi="宋体" w:eastAsia="宋体" w:cs="宋体"/>
                <w:i w:val="0"/>
                <w:iCs w:val="0"/>
                <w:color w:val="0F1115"/>
                <w:kern w:val="0"/>
                <w:sz w:val="24"/>
                <w:szCs w:val="24"/>
                <w:highlight w:val="none"/>
                <w:u w:val="none"/>
                <w:lang w:val="en-US" w:eastAsia="zh-CN" w:bidi="ar"/>
              </w:rPr>
              <w:t>针对本项目需求提供的服务方案，包含但不限于：科技成果调研方案、技术成熟度评估方法、企业对接与匹配策略、转化路径设计、项目进度安排等内容。</w:t>
            </w:r>
          </w:p>
        </w:tc>
      </w:tr>
      <w:tr w14:paraId="18C8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39EBB">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23821">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25871">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 </w:t>
            </w:r>
            <w:r>
              <w:rPr>
                <w:rStyle w:val="24"/>
                <w:highlight w:val="none"/>
                <w:lang w:val="en-US" w:eastAsia="zh-CN" w:bidi="ar"/>
              </w:rPr>
              <w:t>优秀（</w:t>
            </w:r>
            <w:r>
              <w:rPr>
                <w:rStyle w:val="25"/>
                <w:rFonts w:eastAsia="宋体"/>
                <w:highlight w:val="none"/>
                <w:lang w:val="en-US" w:eastAsia="zh-CN" w:bidi="ar"/>
              </w:rPr>
              <w:t>16</w:t>
            </w:r>
            <w:r>
              <w:rPr>
                <w:rStyle w:val="25"/>
                <w:rFonts w:hint="eastAsia" w:eastAsia="宋体"/>
                <w:highlight w:val="none"/>
                <w:lang w:val="en-US" w:eastAsia="zh-CN" w:bidi="ar"/>
              </w:rPr>
              <w:t>－</w:t>
            </w:r>
            <w:r>
              <w:rPr>
                <w:rStyle w:val="25"/>
                <w:rFonts w:eastAsia="宋体"/>
                <w:highlight w:val="none"/>
                <w:lang w:val="en-US" w:eastAsia="zh-CN" w:bidi="ar"/>
              </w:rPr>
              <w:t>18</w:t>
            </w:r>
            <w:r>
              <w:rPr>
                <w:rStyle w:val="24"/>
                <w:highlight w:val="none"/>
                <w:lang w:val="en-US" w:eastAsia="zh-CN" w:bidi="ar"/>
              </w:rPr>
              <w:t>分）：方案完整、逻辑清晰、方法科学可行，针对性强；</w:t>
            </w:r>
          </w:p>
        </w:tc>
      </w:tr>
      <w:tr w14:paraId="0AF3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5A70D">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42694C">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2E55A">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 </w:t>
            </w:r>
            <w:r>
              <w:rPr>
                <w:rStyle w:val="24"/>
                <w:highlight w:val="none"/>
                <w:lang w:val="en-US" w:eastAsia="zh-CN" w:bidi="ar"/>
              </w:rPr>
              <w:t>良好（</w:t>
            </w:r>
            <w:r>
              <w:rPr>
                <w:rStyle w:val="25"/>
                <w:rFonts w:eastAsia="宋体"/>
                <w:highlight w:val="none"/>
                <w:lang w:val="en-US" w:eastAsia="zh-CN" w:bidi="ar"/>
              </w:rPr>
              <w:t>11</w:t>
            </w:r>
            <w:r>
              <w:rPr>
                <w:rStyle w:val="25"/>
                <w:rFonts w:hint="eastAsia" w:eastAsia="宋体"/>
                <w:highlight w:val="none"/>
                <w:lang w:val="en-US" w:eastAsia="zh-CN" w:bidi="ar"/>
              </w:rPr>
              <w:t>－</w:t>
            </w:r>
            <w:r>
              <w:rPr>
                <w:rStyle w:val="25"/>
                <w:rFonts w:eastAsia="宋体"/>
                <w:highlight w:val="none"/>
                <w:lang w:val="en-US" w:eastAsia="zh-CN" w:bidi="ar"/>
              </w:rPr>
              <w:t>15</w:t>
            </w:r>
            <w:r>
              <w:rPr>
                <w:rStyle w:val="24"/>
                <w:highlight w:val="none"/>
                <w:lang w:val="en-US" w:eastAsia="zh-CN" w:bidi="ar"/>
              </w:rPr>
              <w:t>分）：方案较完整，基本可行，有一定针对性；</w:t>
            </w:r>
          </w:p>
        </w:tc>
      </w:tr>
      <w:tr w14:paraId="5F69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82A07B">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70598">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9CE40">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 </w:t>
            </w:r>
            <w:r>
              <w:rPr>
                <w:rStyle w:val="24"/>
                <w:highlight w:val="none"/>
                <w:lang w:val="en-US" w:eastAsia="zh-CN" w:bidi="ar"/>
              </w:rPr>
              <w:t>一般（</w:t>
            </w:r>
            <w:r>
              <w:rPr>
                <w:rStyle w:val="25"/>
                <w:rFonts w:eastAsia="宋体"/>
                <w:highlight w:val="none"/>
                <w:lang w:val="en-US" w:eastAsia="zh-CN" w:bidi="ar"/>
              </w:rPr>
              <w:t>6</w:t>
            </w:r>
            <w:r>
              <w:rPr>
                <w:rStyle w:val="25"/>
                <w:rFonts w:hint="eastAsia" w:eastAsia="宋体"/>
                <w:highlight w:val="none"/>
                <w:lang w:val="en-US" w:eastAsia="zh-CN" w:bidi="ar"/>
              </w:rPr>
              <w:t>－</w:t>
            </w:r>
            <w:r>
              <w:rPr>
                <w:rStyle w:val="25"/>
                <w:rFonts w:eastAsia="宋体"/>
                <w:highlight w:val="none"/>
                <w:lang w:val="en-US" w:eastAsia="zh-CN" w:bidi="ar"/>
              </w:rPr>
              <w:t>10</w:t>
            </w:r>
            <w:r>
              <w:rPr>
                <w:rStyle w:val="24"/>
                <w:highlight w:val="none"/>
                <w:lang w:val="en-US" w:eastAsia="zh-CN" w:bidi="ar"/>
              </w:rPr>
              <w:t>分）：方案内容简单，可行性一般；</w:t>
            </w:r>
          </w:p>
        </w:tc>
      </w:tr>
      <w:tr w14:paraId="24DF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90D00">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2E855">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79197">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 </w:t>
            </w:r>
            <w:r>
              <w:rPr>
                <w:rStyle w:val="24"/>
                <w:highlight w:val="none"/>
                <w:lang w:val="en-US" w:eastAsia="zh-CN" w:bidi="ar"/>
              </w:rPr>
              <w:t>较差（</w:t>
            </w:r>
            <w:r>
              <w:rPr>
                <w:rStyle w:val="25"/>
                <w:rFonts w:eastAsia="宋体"/>
                <w:highlight w:val="none"/>
                <w:lang w:val="en-US" w:eastAsia="zh-CN" w:bidi="ar"/>
              </w:rPr>
              <w:t>0</w:t>
            </w:r>
            <w:r>
              <w:rPr>
                <w:rStyle w:val="25"/>
                <w:rFonts w:hint="eastAsia" w:eastAsia="宋体"/>
                <w:highlight w:val="none"/>
                <w:lang w:val="en-US" w:eastAsia="zh-CN" w:bidi="ar"/>
              </w:rPr>
              <w:t>－</w:t>
            </w:r>
            <w:r>
              <w:rPr>
                <w:rStyle w:val="25"/>
                <w:rFonts w:eastAsia="宋体"/>
                <w:highlight w:val="none"/>
                <w:lang w:val="en-US" w:eastAsia="zh-CN" w:bidi="ar"/>
              </w:rPr>
              <w:t>5</w:t>
            </w:r>
            <w:r>
              <w:rPr>
                <w:rStyle w:val="24"/>
                <w:highlight w:val="none"/>
                <w:lang w:val="en-US" w:eastAsia="zh-CN" w:bidi="ar"/>
              </w:rPr>
              <w:t>分）：方案缺失或明显不合理。</w:t>
            </w:r>
          </w:p>
        </w:tc>
      </w:tr>
      <w:tr w14:paraId="68E1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785C1F">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验收保障与保密承诺</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3E13E7">
            <w:pPr>
              <w:keepNext w:val="0"/>
              <w:keepLines w:val="0"/>
              <w:widowControl/>
              <w:suppressLineNumbers w:val="0"/>
              <w:jc w:val="center"/>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7</w:t>
            </w:r>
            <w:r>
              <w:rPr>
                <w:rStyle w:val="24"/>
                <w:highlight w:val="none"/>
                <w:lang w:val="en-US" w:eastAsia="zh-CN" w:bidi="ar"/>
              </w:rPr>
              <w:t>分</w:t>
            </w: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62FD6">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1. </w:t>
            </w:r>
            <w:r>
              <w:rPr>
                <w:rStyle w:val="24"/>
                <w:highlight w:val="none"/>
                <w:lang w:val="en-US" w:eastAsia="zh-CN" w:bidi="ar"/>
              </w:rPr>
              <w:t>验收保障方案（</w:t>
            </w:r>
            <w:r>
              <w:rPr>
                <w:rStyle w:val="25"/>
                <w:rFonts w:eastAsia="宋体"/>
                <w:highlight w:val="none"/>
                <w:lang w:val="en-US" w:eastAsia="zh-CN" w:bidi="ar"/>
              </w:rPr>
              <w:t>4</w:t>
            </w:r>
            <w:r>
              <w:rPr>
                <w:rStyle w:val="24"/>
                <w:highlight w:val="none"/>
                <w:lang w:val="en-US" w:eastAsia="zh-CN" w:bidi="ar"/>
              </w:rPr>
              <w:t>分）：包含验收标准、验收流程、交付物清单、时间节点等内容，明确具体、可操作性强。</w:t>
            </w:r>
          </w:p>
        </w:tc>
      </w:tr>
      <w:tr w14:paraId="5964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E7417">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A2655">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48612">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Fonts w:hint="default" w:ascii="Times New Roman" w:hAnsi="Times New Roman" w:eastAsia="宋体" w:cs="Times New Roman"/>
                <w:i w:val="0"/>
                <w:iCs w:val="0"/>
                <w:color w:val="0F1115"/>
                <w:kern w:val="0"/>
                <w:sz w:val="24"/>
                <w:szCs w:val="24"/>
                <w:highlight w:val="none"/>
                <w:u w:val="none"/>
                <w:lang w:val="en-US" w:eastAsia="zh-CN" w:bidi="ar"/>
              </w:rPr>
              <w:t xml:space="preserve">2. </w:t>
            </w:r>
            <w:r>
              <w:rPr>
                <w:rStyle w:val="24"/>
                <w:highlight w:val="none"/>
                <w:lang w:val="en-US" w:eastAsia="zh-CN" w:bidi="ar"/>
              </w:rPr>
              <w:t>保密承诺（</w:t>
            </w:r>
            <w:r>
              <w:rPr>
                <w:rStyle w:val="25"/>
                <w:rFonts w:eastAsia="宋体"/>
                <w:highlight w:val="none"/>
                <w:lang w:val="en-US" w:eastAsia="zh-CN" w:bidi="ar"/>
              </w:rPr>
              <w:t>3</w:t>
            </w:r>
            <w:r>
              <w:rPr>
                <w:rStyle w:val="24"/>
                <w:highlight w:val="none"/>
                <w:lang w:val="en-US" w:eastAsia="zh-CN" w:bidi="ar"/>
              </w:rPr>
              <w:t>分）：针对医院科技成果敏感信息，提供明确的保密承诺及保密措施，内容完整、措施可行。</w:t>
            </w:r>
          </w:p>
        </w:tc>
      </w:tr>
      <w:tr w14:paraId="59D2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ED56D">
            <w:pPr>
              <w:jc w:val="center"/>
              <w:rPr>
                <w:rFonts w:hint="default" w:ascii="Times New Roman" w:hAnsi="Times New Roman" w:eastAsia="宋体" w:cs="Times New Roman"/>
                <w:i w:val="0"/>
                <w:iCs w:val="0"/>
                <w:color w:val="0F1115"/>
                <w:sz w:val="24"/>
                <w:szCs w:val="24"/>
                <w:highlight w:val="none"/>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B6393">
            <w:pPr>
              <w:jc w:val="center"/>
              <w:rPr>
                <w:rFonts w:hint="default" w:ascii="Times New Roman" w:hAnsi="Times New Roman" w:eastAsia="宋体" w:cs="Times New Roman"/>
                <w:i w:val="0"/>
                <w:iCs w:val="0"/>
                <w:color w:val="0F1115"/>
                <w:sz w:val="24"/>
                <w:szCs w:val="24"/>
                <w:highlight w:val="none"/>
                <w:u w:val="none"/>
              </w:rPr>
            </w:pPr>
          </w:p>
        </w:tc>
        <w:tc>
          <w:tcPr>
            <w:tcW w:w="38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307AF">
            <w:pPr>
              <w:keepNext w:val="0"/>
              <w:keepLines w:val="0"/>
              <w:widowControl/>
              <w:suppressLineNumbers w:val="0"/>
              <w:jc w:val="left"/>
              <w:textAlignment w:val="center"/>
              <w:rPr>
                <w:rFonts w:hint="default" w:ascii="Times New Roman" w:hAnsi="Times New Roman" w:eastAsia="宋体" w:cs="Times New Roman"/>
                <w:i w:val="0"/>
                <w:iCs w:val="0"/>
                <w:color w:val="0F1115"/>
                <w:sz w:val="24"/>
                <w:szCs w:val="24"/>
                <w:highlight w:val="none"/>
                <w:u w:val="none"/>
              </w:rPr>
            </w:pPr>
            <w:r>
              <w:rPr>
                <w:rStyle w:val="24"/>
                <w:highlight w:val="none"/>
                <w:lang w:val="en-US" w:eastAsia="zh-CN" w:bidi="ar"/>
              </w:rPr>
              <w:t>注：未提供验收保障方案或保密承诺的，对应项不得分。</w:t>
            </w:r>
          </w:p>
        </w:tc>
      </w:tr>
      <w:tr w14:paraId="4AEF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1E525">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评审说明</w:t>
            </w:r>
            <w:r>
              <w:rPr>
                <w:rStyle w:val="28"/>
                <w:highlight w:val="none"/>
                <w:lang w:val="en-US" w:eastAsia="zh-CN" w:bidi="ar"/>
              </w:rPr>
              <w:br w:type="textWrapping"/>
            </w:r>
            <w:r>
              <w:rPr>
                <w:rStyle w:val="28"/>
                <w:highlight w:val="none"/>
                <w:lang w:val="en-US" w:eastAsia="zh-CN" w:bidi="ar"/>
              </w:rPr>
              <w:t>1.客观分证明材料：投标人须在投标文件中提供相关证明材料的清晰扫描件或复印件，并加盖投标人公章。未提供或材料不清晰无法辨认的，对应项不得分。</w:t>
            </w:r>
            <w:r>
              <w:rPr>
                <w:rStyle w:val="28"/>
                <w:highlight w:val="none"/>
                <w:lang w:val="en-US" w:eastAsia="zh-CN" w:bidi="ar"/>
              </w:rPr>
              <w:br w:type="textWrapping"/>
            </w:r>
            <w:r>
              <w:rPr>
                <w:rStyle w:val="28"/>
                <w:highlight w:val="none"/>
                <w:lang w:val="en-US" w:eastAsia="zh-CN" w:bidi="ar"/>
              </w:rPr>
              <w:t>2.主观分评审：评标委员会根据投标文件内容独立打分，取各评委评分的算术平均值。价格分计算示例：假设最低报价为50，000元，某投标人报价为60，000元，则该投标人价格分＝（50，000／60，000）×30＝25分。</w:t>
            </w:r>
            <w:r>
              <w:rPr>
                <w:rStyle w:val="28"/>
                <w:highlight w:val="none"/>
                <w:lang w:val="en-US" w:eastAsia="zh-CN" w:bidi="ar"/>
              </w:rPr>
              <w:br w:type="textWrapping"/>
            </w:r>
            <w:r>
              <w:rPr>
                <w:rStyle w:val="28"/>
                <w:highlight w:val="none"/>
                <w:lang w:val="en-US" w:eastAsia="zh-CN" w:bidi="ar"/>
              </w:rPr>
              <w:t>3.并列处理：如出现两家及以上投标人最终得分相同，则按价格分高者优先；价格分仍相同的，按服务方案分高者优先。</w:t>
            </w:r>
          </w:p>
        </w:tc>
      </w:tr>
    </w:tbl>
    <w:p w14:paraId="16AED337">
      <w:pPr>
        <w:pStyle w:val="2"/>
        <w:widowControl/>
        <w:numPr>
          <w:ilvl w:val="0"/>
          <w:numId w:val="0"/>
        </w:numPr>
        <w:topLinePunct w:val="0"/>
        <w:ind w:left="0" w:leftChars="0" w:firstLine="640"/>
        <w:rPr>
          <w:b w:val="0"/>
          <w:highlight w:val="none"/>
        </w:rPr>
      </w:pPr>
      <w:r>
        <w:rPr>
          <w:rFonts w:hint="eastAsia"/>
          <w:highlight w:val="none"/>
          <w:lang w:eastAsia="zh-CN"/>
        </w:rPr>
        <w:t>六、</w:t>
      </w:r>
      <w:r>
        <w:rPr>
          <w:highlight w:val="none"/>
        </w:rPr>
        <w:t>院内比选响应文件内容要求</w:t>
      </w:r>
    </w:p>
    <w:p w14:paraId="43B7946D">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院内比选响应文件需包含营业执照及相关资质证明、书面声明、报价单；服务方案；案例业绩证明；售后及保密承诺等材料（需按顺序装订并加盖公章）。</w:t>
      </w:r>
    </w:p>
    <w:p w14:paraId="0F6A1530">
      <w:pPr>
        <w:pStyle w:val="2"/>
        <w:widowControl/>
        <w:numPr>
          <w:ilvl w:val="0"/>
          <w:numId w:val="0"/>
        </w:numPr>
        <w:topLinePunct w:val="0"/>
        <w:ind w:left="0" w:leftChars="0" w:firstLine="640"/>
        <w:rPr>
          <w:b w:val="0"/>
          <w:highlight w:val="none"/>
        </w:rPr>
      </w:pPr>
      <w:r>
        <w:rPr>
          <w:rFonts w:hint="eastAsia"/>
          <w:highlight w:val="none"/>
          <w:lang w:eastAsia="zh-CN"/>
        </w:rPr>
        <w:t>七、</w:t>
      </w:r>
      <w:r>
        <w:rPr>
          <w:highlight w:val="none"/>
        </w:rPr>
        <w:t>信息发布方式</w:t>
      </w:r>
    </w:p>
    <w:p w14:paraId="73A73808">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本项目需要公开的有关信息，包括公开比选公告、更正公告、比选结果公告等与比选活动有关的通知，采购人均将通过 “天津市第一中心医院官网（</w:t>
      </w:r>
      <w:r>
        <w:rPr>
          <w:rFonts w:ascii="Times New Roman" w:hAnsi="Times New Roman" w:eastAsia="仿宋_GB2312" w:cs="仿宋_GB2312"/>
          <w:i w:val="0"/>
          <w:color w:val="000000"/>
          <w:sz w:val="32"/>
          <w:szCs w:val="32"/>
          <w:highlight w:val="none"/>
        </w:rPr>
        <w:fldChar w:fldCharType="begin"/>
      </w:r>
      <w:r>
        <w:rPr>
          <w:rFonts w:ascii="Times New Roman" w:hAnsi="Times New Roman" w:eastAsia="仿宋_GB2312" w:cs="仿宋_GB2312"/>
          <w:i w:val="0"/>
          <w:color w:val="000000"/>
          <w:sz w:val="32"/>
          <w:szCs w:val="32"/>
          <w:highlight w:val="none"/>
        </w:rPr>
        <w:instrText xml:space="preserve"> HYPERLINK "https://www.tj-fch.com/" \t "_blank" </w:instrText>
      </w:r>
      <w:r>
        <w:rPr>
          <w:rFonts w:ascii="Times New Roman" w:hAnsi="Times New Roman" w:eastAsia="仿宋_GB2312" w:cs="仿宋_GB2312"/>
          <w:i w:val="0"/>
          <w:color w:val="000000"/>
          <w:sz w:val="32"/>
          <w:szCs w:val="32"/>
          <w:highlight w:val="none"/>
        </w:rPr>
        <w:fldChar w:fldCharType="separate"/>
      </w:r>
      <w:r>
        <w:rPr>
          <w:rFonts w:ascii="Times New Roman" w:hAnsi="Times New Roman" w:eastAsia="仿宋_GB2312" w:cs="仿宋_GB2312"/>
          <w:i w:val="0"/>
          <w:color w:val="000000"/>
          <w:sz w:val="32"/>
          <w:szCs w:val="32"/>
          <w:highlight w:val="none"/>
        </w:rPr>
        <w:t>https：／／www.tj－fch.com／</w:t>
      </w:r>
      <w:r>
        <w:rPr>
          <w:rFonts w:ascii="Times New Roman" w:hAnsi="Times New Roman" w:eastAsia="仿宋_GB2312" w:cs="仿宋_GB2312"/>
          <w:i w:val="0"/>
          <w:color w:val="000000"/>
          <w:sz w:val="32"/>
          <w:szCs w:val="32"/>
          <w:highlight w:val="none"/>
        </w:rPr>
        <w:fldChar w:fldCharType="end"/>
      </w:r>
      <w:r>
        <w:rPr>
          <w:rFonts w:ascii="Times New Roman" w:hAnsi="Times New Roman" w:eastAsia="仿宋_GB2312" w:cs="仿宋_GB2312"/>
          <w:i w:val="0"/>
          <w:color w:val="000000"/>
          <w:sz w:val="32"/>
          <w:szCs w:val="32"/>
          <w:highlight w:val="none"/>
        </w:rPr>
        <w:t>）” 公开发布。</w:t>
      </w:r>
    </w:p>
    <w:p w14:paraId="391E9627">
      <w:pPr>
        <w:pStyle w:val="2"/>
        <w:widowControl/>
        <w:numPr>
          <w:ilvl w:val="0"/>
          <w:numId w:val="0"/>
        </w:numPr>
        <w:topLinePunct w:val="0"/>
        <w:ind w:left="0" w:leftChars="0" w:firstLine="640"/>
        <w:rPr>
          <w:b w:val="0"/>
          <w:highlight w:val="none"/>
        </w:rPr>
      </w:pPr>
      <w:r>
        <w:rPr>
          <w:rFonts w:hint="eastAsia"/>
          <w:highlight w:val="none"/>
          <w:lang w:eastAsia="zh-CN"/>
        </w:rPr>
        <w:t>八、</w:t>
      </w:r>
      <w:r>
        <w:rPr>
          <w:highlight w:val="none"/>
        </w:rPr>
        <w:t>院内比选响应文件递交及现场比选</w:t>
      </w:r>
    </w:p>
    <w:p w14:paraId="5DC0EE80">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院内比选响应文件递交截止时间：2026年4月27日12:00（北京时间）</w:t>
      </w:r>
    </w:p>
    <w:p w14:paraId="3053F621">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院内比选响应文件递交方式：文件密封后邮寄或送至天津市第一中心医院（水西院区）（实训楼407室），丁老师收。</w:t>
      </w:r>
    </w:p>
    <w:p w14:paraId="18AEC756">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启封院内比选响应文件、现场比选时间：2026年4月29日14:30院内比选地点：天津市第一中心医院水西院区实训楼103室。</w:t>
      </w:r>
    </w:p>
    <w:p w14:paraId="7F0C7530">
      <w:pPr>
        <w:pStyle w:val="2"/>
        <w:widowControl/>
        <w:numPr>
          <w:ilvl w:val="0"/>
          <w:numId w:val="0"/>
        </w:numPr>
        <w:topLinePunct w:val="0"/>
        <w:ind w:left="0" w:leftChars="0" w:firstLine="640"/>
        <w:rPr>
          <w:b w:val="0"/>
          <w:highlight w:val="none"/>
        </w:rPr>
      </w:pPr>
      <w:r>
        <w:rPr>
          <w:rFonts w:hint="eastAsia"/>
          <w:highlight w:val="none"/>
          <w:lang w:eastAsia="zh-CN"/>
        </w:rPr>
        <w:t>九、</w:t>
      </w:r>
      <w:r>
        <w:rPr>
          <w:highlight w:val="none"/>
        </w:rPr>
        <w:t>项目联系方式</w:t>
      </w:r>
    </w:p>
    <w:p w14:paraId="054F67BC">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b w:val="0"/>
          <w:sz w:val="32"/>
          <w:szCs w:val="32"/>
          <w:highlight w:val="none"/>
        </w:rPr>
      </w:pPr>
      <w:r>
        <w:rPr>
          <w:rFonts w:ascii="Times New Roman" w:hAnsi="Times New Roman" w:eastAsia="仿宋_GB2312" w:cs="仿宋_GB2312"/>
          <w:i w:val="0"/>
          <w:color w:val="000000"/>
          <w:sz w:val="32"/>
          <w:szCs w:val="32"/>
          <w:highlight w:val="none"/>
        </w:rPr>
        <w:t>邮箱：</w:t>
      </w:r>
      <w:r>
        <w:rPr>
          <w:rFonts w:ascii="Times New Roman" w:hAnsi="Times New Roman" w:eastAsia="仿宋_GB2312" w:cs="仿宋_GB2312"/>
          <w:b w:val="0"/>
          <w:sz w:val="32"/>
          <w:szCs w:val="32"/>
          <w:highlight w:val="none"/>
        </w:rPr>
        <w:fldChar w:fldCharType="begin"/>
      </w:r>
      <w:r>
        <w:rPr>
          <w:rFonts w:ascii="Times New Roman" w:hAnsi="Times New Roman" w:eastAsia="仿宋_GB2312" w:cs="仿宋_GB2312"/>
          <w:b w:val="0"/>
          <w:sz w:val="32"/>
          <w:szCs w:val="32"/>
          <w:highlight w:val="none"/>
        </w:rPr>
        <w:instrText xml:space="preserve"> HYPERLINK "mailto:abcd6135@126.com" </w:instrText>
      </w:r>
      <w:r>
        <w:rPr>
          <w:rFonts w:ascii="Times New Roman" w:hAnsi="Times New Roman" w:eastAsia="仿宋_GB2312" w:cs="仿宋_GB2312"/>
          <w:b w:val="0"/>
          <w:sz w:val="32"/>
          <w:szCs w:val="32"/>
          <w:highlight w:val="none"/>
        </w:rPr>
        <w:fldChar w:fldCharType="separate"/>
      </w:r>
      <w:r>
        <w:rPr>
          <w:rStyle w:val="21"/>
          <w:rFonts w:ascii="Times New Roman" w:hAnsi="Times New Roman" w:eastAsia="仿宋_GB2312" w:cs="仿宋_GB2312"/>
          <w:b w:val="0"/>
          <w:sz w:val="32"/>
          <w:szCs w:val="32"/>
          <w:highlight w:val="none"/>
        </w:rPr>
        <w:t>abcd6135＠126.com</w:t>
      </w:r>
      <w:r>
        <w:rPr>
          <w:rFonts w:ascii="Times New Roman" w:hAnsi="Times New Roman" w:eastAsia="仿宋_GB2312" w:cs="仿宋_GB2312"/>
          <w:b w:val="0"/>
          <w:sz w:val="32"/>
          <w:szCs w:val="32"/>
          <w:highlight w:val="none"/>
        </w:rPr>
        <w:fldChar w:fldCharType="end"/>
      </w:r>
    </w:p>
    <w:p w14:paraId="0F52E394">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地点：天津市西青区保山西道2号</w:t>
      </w:r>
    </w:p>
    <w:p w14:paraId="14A8A71C">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联系电话：022－23628451</w:t>
      </w:r>
    </w:p>
    <w:p w14:paraId="4001E064">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r>
        <w:rPr>
          <w:rFonts w:ascii="Times New Roman" w:hAnsi="Times New Roman" w:eastAsia="仿宋_GB2312" w:cs="仿宋_GB2312"/>
          <w:i w:val="0"/>
          <w:color w:val="000000"/>
          <w:sz w:val="32"/>
          <w:szCs w:val="32"/>
          <w:highlight w:val="none"/>
        </w:rPr>
        <w:t>联系人：丁老师</w:t>
      </w:r>
    </w:p>
    <w:p w14:paraId="760FAC57">
      <w:pPr>
        <w:pStyle w:val="12"/>
        <w:keepNext w:val="0"/>
        <w:keepLines w:val="0"/>
        <w:pageBreakBefore w:val="0"/>
        <w:widowControl/>
        <w:kinsoku/>
        <w:wordWrap/>
        <w:overflowPunct/>
        <w:topLinePunct w:val="0"/>
        <w:autoSpaceDE/>
        <w:autoSpaceDN/>
        <w:bidi w:val="0"/>
        <w:adjustRightInd w:val="0"/>
        <w:snapToGrid/>
        <w:ind w:left="3858" w:leftChars="0" w:right="164" w:rightChars="0" w:firstLine="0" w:firstLineChars="0"/>
        <w:jc w:val="center"/>
        <w:textAlignment w:val="auto"/>
        <w:rPr>
          <w:rFonts w:hint="default"/>
          <w:sz w:val="32"/>
          <w:szCs w:val="32"/>
          <w:lang w:val="en-US" w:eastAsia="zh-CN"/>
        </w:rPr>
      </w:pPr>
      <mc:AlternateContent>
        <mc:Choice Requires="wpsCustomData">
          <wpsCustomData:docfieldStart id="1" docfieldname="发文机关署名_1" hidden="0" print="1" readonly="0" index="11"/>
        </mc:Choice>
      </mc:AlternateContent>
      <w:r>
        <w:rPr>
          <w:rFonts w:hint="eastAsia"/>
          <w:sz w:val="32"/>
          <w:szCs w:val="32"/>
          <w:lang w:val="en-US" w:eastAsia="zh-CN"/>
        </w:rPr>
        <w:t xml:space="preserve">       天津市第一中心医院</w:t>
      </w:r>
      <mc:AlternateContent>
        <mc:Choice Requires="wpsCustomData">
          <wpsCustomData:docfieldEnd id="1"/>
        </mc:Choice>
      </mc:AlternateContent>
    </w:p>
    <w:p w14:paraId="5B7DD83D">
      <w:pPr>
        <w:pStyle w:val="12"/>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mc:AlternateContent>
        <mc:Choice Requires="wpsCustomData">
          <wpsCustomData:docfieldStart id="2" docfieldname="成文日期_1" hidden="0" print="1" readonly="0" index="12"/>
        </mc:Choice>
      </mc:AlternateContent>
      <w:r>
        <w:rPr>
          <w:rFonts w:hint="eastAsia"/>
          <w:sz w:val="32"/>
          <w:szCs w:val="32"/>
          <w:lang w:val="en-US" w:eastAsia="zh-CN"/>
        </w:rPr>
        <w:t>2026年4月20日</w:t>
      </w:r>
      <mc:AlternateContent>
        <mc:Choice Requires="wpsCustomData">
          <wpsCustomData:docfieldEnd id="2"/>
        </mc:Choice>
      </mc:AlternateContent>
    </w:p>
    <w:p w14:paraId="34359719">
      <w:pPr>
        <w:pStyle w:val="12"/>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000000"/>
          <w:sz w:val="32"/>
          <w:szCs w:val="32"/>
          <w:highlight w:val="none"/>
        </w:rPr>
      </w:pPr>
    </w:p>
    <w:p w14:paraId="3BD570E1">
      <w:pPr>
        <w:pStyle w:val="12"/>
        <w:widowControl/>
        <w:pBdr>
          <w:top w:val="none" w:color="auto" w:sz="0" w:space="0"/>
          <w:left w:val="none" w:color="auto" w:sz="0" w:space="0"/>
          <w:bottom w:val="none" w:color="auto" w:sz="0" w:space="0"/>
          <w:right w:val="none" w:color="auto" w:sz="0" w:space="0"/>
        </w:pBdr>
        <w:rPr>
          <w:rFonts w:hint="eastAsia" w:ascii="Times New Roman" w:hAnsi="Times New Roman" w:eastAsia="仿宋_GB2312" w:cs="仿宋_GB2312"/>
          <w:i w:val="0"/>
          <w:color w:val="000000"/>
          <w:sz w:val="32"/>
          <w:szCs w:val="32"/>
          <w:highlight w:val="none"/>
          <w:lang w:eastAsia="zh-CN"/>
        </w:rPr>
      </w:pPr>
    </w:p>
    <w:p w14:paraId="03D6FA2D">
      <w:pPr>
        <w:pStyle w:val="12"/>
        <w:widowControl/>
        <w:pBdr>
          <w:top w:val="none" w:color="auto" w:sz="0" w:space="0"/>
          <w:left w:val="none" w:color="auto" w:sz="0" w:space="0"/>
          <w:bottom w:val="none" w:color="auto" w:sz="0" w:space="0"/>
          <w:right w:val="none" w:color="auto" w:sz="0" w:space="0"/>
        </w:pBdr>
        <w:rPr>
          <w:rFonts w:hint="eastAsia" w:ascii="Times New Roman" w:hAnsi="Times New Roman" w:eastAsia="仿宋_GB2312" w:cs="仿宋_GB2312"/>
          <w:i w:val="0"/>
          <w:color w:val="000000"/>
          <w:sz w:val="32"/>
          <w:szCs w:val="32"/>
          <w:highlight w:val="none"/>
          <w:lang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ED9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C7932">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408C7932">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87F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01FF">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3A501FF">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E58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2F89">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F6106"/>
    <w:rsid w:val="026C3CEB"/>
    <w:rsid w:val="0328714A"/>
    <w:rsid w:val="071C4DD2"/>
    <w:rsid w:val="0BBB788E"/>
    <w:rsid w:val="0FB233AC"/>
    <w:rsid w:val="12266F4A"/>
    <w:rsid w:val="185F6106"/>
    <w:rsid w:val="19F85679"/>
    <w:rsid w:val="1C3B7FDD"/>
    <w:rsid w:val="1DC84414"/>
    <w:rsid w:val="353C6C75"/>
    <w:rsid w:val="35A60F64"/>
    <w:rsid w:val="3DE221C4"/>
    <w:rsid w:val="433674DB"/>
    <w:rsid w:val="44F93EC7"/>
    <w:rsid w:val="4C06511B"/>
    <w:rsid w:val="4CCC1EC1"/>
    <w:rsid w:val="4F702FD7"/>
    <w:rsid w:val="50C55CD6"/>
    <w:rsid w:val="526D2164"/>
    <w:rsid w:val="558963CD"/>
    <w:rsid w:val="577347E3"/>
    <w:rsid w:val="57977239"/>
    <w:rsid w:val="5BE343A5"/>
    <w:rsid w:val="5EF07C91"/>
    <w:rsid w:val="687F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3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32"/>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index 5"/>
    <w:next w:val="1"/>
    <w:qFormat/>
    <w:uiPriority w:val="2"/>
    <w:pPr>
      <w:widowControl w:val="0"/>
      <w:spacing w:after="120"/>
      <w:ind w:left="1680"/>
      <w:jc w:val="both"/>
    </w:pPr>
    <w:rPr>
      <w:rFonts w:ascii="Times New Roman" w:hAnsi="Times New Roman" w:eastAsia="宋体" w:cs="Times New Roman"/>
      <w:kern w:val="2"/>
      <w:sz w:val="21"/>
      <w:szCs w:val="24"/>
      <w:lang w:val="en-US" w:eastAsia="zh-CN" w:bidi="ar-SA"/>
    </w:rPr>
  </w:style>
  <w:style w:type="paragraph" w:styleId="1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footer"/>
    <w:next w:val="11"/>
    <w:qFormat/>
    <w:uiPriority w:val="0"/>
    <w:pPr>
      <w:widowControl w:val="0"/>
      <w:tabs>
        <w:tab w:val="center" w:pos="4153"/>
        <w:tab w:val="right" w:pos="8306"/>
      </w:tabs>
      <w:snapToGrid w:val="0"/>
      <w:spacing w:after="120"/>
      <w:jc w:val="left"/>
    </w:pPr>
    <w:rPr>
      <w:rFonts w:ascii="Times New Roman" w:hAnsi="Times New Roman" w:eastAsia="宋体" w:cs="Times New Roman"/>
      <w:kern w:val="2"/>
      <w:sz w:val="18"/>
      <w:szCs w:val="24"/>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font31"/>
    <w:basedOn w:val="19"/>
    <w:qFormat/>
    <w:uiPriority w:val="0"/>
    <w:rPr>
      <w:rFonts w:hint="default" w:ascii="Times New Roman" w:hAnsi="Times New Roman" w:cs="Times New Roman"/>
      <w:b/>
      <w:bCs/>
      <w:color w:val="0F1115"/>
      <w:sz w:val="28"/>
      <w:szCs w:val="28"/>
      <w:u w:val="none"/>
    </w:rPr>
  </w:style>
  <w:style w:type="character" w:customStyle="1" w:styleId="23">
    <w:name w:val="font21"/>
    <w:basedOn w:val="19"/>
    <w:qFormat/>
    <w:uiPriority w:val="0"/>
    <w:rPr>
      <w:rFonts w:hint="eastAsia" w:ascii="宋体" w:hAnsi="宋体" w:eastAsia="宋体" w:cs="宋体"/>
      <w:b/>
      <w:bCs/>
      <w:color w:val="0F1115"/>
      <w:sz w:val="28"/>
      <w:szCs w:val="28"/>
      <w:u w:val="none"/>
    </w:rPr>
  </w:style>
  <w:style w:type="character" w:customStyle="1" w:styleId="24">
    <w:name w:val="font51"/>
    <w:basedOn w:val="19"/>
    <w:qFormat/>
    <w:uiPriority w:val="0"/>
    <w:rPr>
      <w:rFonts w:hint="eastAsia" w:ascii="宋体" w:hAnsi="宋体" w:eastAsia="宋体" w:cs="宋体"/>
      <w:color w:val="0F1115"/>
      <w:sz w:val="24"/>
      <w:szCs w:val="24"/>
      <w:u w:val="none"/>
    </w:rPr>
  </w:style>
  <w:style w:type="character" w:customStyle="1" w:styleId="25">
    <w:name w:val="font41"/>
    <w:basedOn w:val="19"/>
    <w:qFormat/>
    <w:uiPriority w:val="0"/>
    <w:rPr>
      <w:rFonts w:hint="default" w:ascii="Times New Roman" w:hAnsi="Times New Roman" w:cs="Times New Roman"/>
      <w:color w:val="0F1115"/>
      <w:sz w:val="24"/>
      <w:szCs w:val="24"/>
      <w:u w:val="none"/>
    </w:rPr>
  </w:style>
  <w:style w:type="character" w:customStyle="1" w:styleId="26">
    <w:name w:val="font81"/>
    <w:basedOn w:val="19"/>
    <w:qFormat/>
    <w:uiPriority w:val="0"/>
    <w:rPr>
      <w:rFonts w:hint="default" w:ascii="Times New Roman" w:hAnsi="Times New Roman" w:cs="Times New Roman"/>
      <w:b/>
      <w:bCs/>
      <w:color w:val="0F1115"/>
      <w:sz w:val="24"/>
      <w:szCs w:val="24"/>
      <w:u w:val="none"/>
    </w:rPr>
  </w:style>
  <w:style w:type="character" w:customStyle="1" w:styleId="27">
    <w:name w:val="font61"/>
    <w:basedOn w:val="19"/>
    <w:qFormat/>
    <w:uiPriority w:val="0"/>
    <w:rPr>
      <w:rFonts w:hint="eastAsia" w:ascii="宋体" w:hAnsi="宋体" w:eastAsia="宋体" w:cs="宋体"/>
      <w:b/>
      <w:bCs/>
      <w:color w:val="0F1115"/>
      <w:sz w:val="24"/>
      <w:szCs w:val="24"/>
      <w:u w:val="none"/>
    </w:rPr>
  </w:style>
  <w:style w:type="character" w:customStyle="1" w:styleId="28">
    <w:name w:val="font01"/>
    <w:basedOn w:val="19"/>
    <w:qFormat/>
    <w:uiPriority w:val="0"/>
    <w:rPr>
      <w:rFonts w:hint="eastAsia" w:ascii="宋体" w:hAnsi="宋体" w:eastAsia="宋体" w:cs="宋体"/>
      <w:color w:val="000000"/>
      <w:sz w:val="22"/>
      <w:szCs w:val="22"/>
      <w:u w:val="none"/>
    </w:rPr>
  </w:style>
  <w:style w:type="paragraph" w:customStyle="1" w:styleId="2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30">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character" w:customStyle="1" w:styleId="31">
    <w:name w:val="标题 2 Char"/>
    <w:link w:val="3"/>
    <w:qFormat/>
    <w:uiPriority w:val="0"/>
    <w:rPr>
      <w:rFonts w:ascii="Times New Roman" w:hAnsi="Times New Roman" w:eastAsia="楷体_GB2312" w:cs="楷体_GB2312"/>
      <w:sz w:val="32"/>
      <w:szCs w:val="32"/>
    </w:rPr>
  </w:style>
  <w:style w:type="character" w:customStyle="1" w:styleId="32">
    <w:name w:val="标题 3 Char"/>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1177</Words>
  <Characters>1193</Characters>
  <Lines>0</Lines>
  <Paragraphs>0</Paragraphs>
  <TotalTime>1</TotalTime>
  <ScaleCrop>false</ScaleCrop>
  <LinksUpToDate>false</LinksUpToDate>
  <CharactersWithSpaces>1202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2026-01-21T03:38:00Z</dcterms:created>
  <dc:creator>余.com生</dc:creator>
  <cp:lastModifiedBy>丁培森</cp:lastModifiedBy>
  <dcterms:modified xsi:type="dcterms:W3CDTF">2026-04-20T06:16:09Z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7B580DEA2BA04E0CAA088682527022E3_13</vt:lpwstr>
  </property>
  <property fmtid="{D5CDD505-2E9C-101B-9397-08002B2CF9AE}" pid="4" name="KSOTemplateDocerSaveRecord">
    <vt:lpwstr>eyJoZGlkIjoiNDk1YzdkY2ZhMzk2NjU0NmUwNDU2YTZlNWU3YWQ2OWUiLCJ1c2VySWQiOiIzMDMxOTUzMTUifQ==</vt:lpwstr>
  </property>
</Properties>
</file>