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DB5FE">
      <w:pPr>
        <w:tabs>
          <w:tab w:val="left" w:pos="360"/>
        </w:tabs>
        <w:spacing w:line="360" w:lineRule="auto"/>
        <w:rPr>
          <w:rFonts w:ascii="仿宋" w:hAnsi="仿宋" w:eastAsia="仿宋" w:cs="仿宋"/>
          <w:b/>
          <w:sz w:val="28"/>
          <w:szCs w:val="28"/>
        </w:rPr>
      </w:pPr>
      <w:r>
        <w:rPr>
          <w:rFonts w:hint="eastAsia" w:ascii="仿宋" w:hAnsi="仿宋" w:eastAsia="仿宋" w:cs="仿宋"/>
          <w:b/>
          <w:sz w:val="28"/>
          <w:szCs w:val="28"/>
        </w:rPr>
        <w:t>附件1</w:t>
      </w:r>
    </w:p>
    <w:p w14:paraId="318CF7E8">
      <w:pPr>
        <w:pStyle w:val="2"/>
        <w:spacing w:line="360" w:lineRule="auto"/>
        <w:contextualSpacing/>
        <w:rPr>
          <w:rFonts w:ascii="宋体" w:hAnsi="宋体" w:cs="宋体"/>
          <w:szCs w:val="28"/>
          <w:highlight w:val="none"/>
        </w:rPr>
      </w:pPr>
      <w:bookmarkStart w:id="0" w:name="OLE_LINK12"/>
      <w:bookmarkStart w:id="1" w:name="OLE_LINK13"/>
      <w:r>
        <w:rPr>
          <w:rFonts w:hint="eastAsia" w:ascii="宋体" w:hAnsi="宋体" w:cs="宋体"/>
          <w:szCs w:val="28"/>
          <w:highlight w:val="none"/>
        </w:rPr>
        <w:t>天津市第一中心医院危化品采购项目</w:t>
      </w:r>
      <w:bookmarkEnd w:id="0"/>
      <w:bookmarkEnd w:id="1"/>
      <w:r>
        <w:rPr>
          <w:rFonts w:hint="eastAsia" w:ascii="宋体" w:hAnsi="宋体" w:cs="宋体"/>
          <w:szCs w:val="28"/>
          <w:highlight w:val="none"/>
        </w:rPr>
        <w:t>招标文件</w:t>
      </w:r>
    </w:p>
    <w:p w14:paraId="12DB21CB">
      <w:pPr>
        <w:snapToGrid w:val="0"/>
        <w:spacing w:after="0" w:line="360" w:lineRule="auto"/>
        <w:ind w:firstLine="560" w:firstLineChars="200"/>
        <w:contextualSpacing/>
        <w:rPr>
          <w:rFonts w:ascii="仿宋" w:hAnsi="仿宋" w:eastAsia="仿宋" w:cs="仿宋"/>
          <w:sz w:val="28"/>
          <w:szCs w:val="28"/>
          <w:highlight w:val="none"/>
        </w:rPr>
      </w:pPr>
      <w:r>
        <w:rPr>
          <w:rFonts w:hint="eastAsia" w:ascii="仿宋" w:hAnsi="仿宋" w:eastAsia="仿宋" w:cs="仿宋"/>
          <w:sz w:val="28"/>
          <w:szCs w:val="28"/>
          <w:highlight w:val="none"/>
        </w:rPr>
        <w:t>天津市第一中心医院以院内比选招标方式就院内使用的甲醛等危化品购置项目实施采购，采购项目实施采购，采用综合评分法，选取一名供应商。</w:t>
      </w:r>
      <w:bookmarkStart w:id="13" w:name="_GoBack"/>
      <w:bookmarkEnd w:id="13"/>
    </w:p>
    <w:p w14:paraId="4D21CAD2">
      <w:pPr>
        <w:pStyle w:val="3"/>
        <w:numPr>
          <w:ilvl w:val="0"/>
          <w:numId w:val="1"/>
        </w:numPr>
        <w:spacing w:after="0"/>
        <w:ind w:left="-420" w:leftChars="0" w:right="0" w:rightChars="0" w:hanging="6"/>
        <w:rPr>
          <w:rFonts w:ascii="仿宋" w:hAnsi="仿宋" w:eastAsia="仿宋" w:cs="仿宋"/>
          <w:b/>
          <w:sz w:val="28"/>
          <w:szCs w:val="28"/>
        </w:rPr>
      </w:pPr>
      <w:r>
        <w:rPr>
          <w:rFonts w:hint="eastAsia" w:ascii="仿宋" w:hAnsi="仿宋" w:eastAsia="仿宋" w:cs="仿宋"/>
          <w:b/>
          <w:sz w:val="28"/>
          <w:szCs w:val="28"/>
        </w:rPr>
        <w:t>项目名称及编号</w:t>
      </w:r>
    </w:p>
    <w:p w14:paraId="5FFAFE29">
      <w:pPr>
        <w:pStyle w:val="8"/>
        <w:numPr>
          <w:ilvl w:val="0"/>
          <w:numId w:val="2"/>
        </w:numPr>
        <w:snapToGrid w:val="0"/>
        <w:spacing w:after="0" w:line="360" w:lineRule="auto"/>
        <w:ind w:firstLineChars="0"/>
        <w:contextualSpacing/>
        <w:rPr>
          <w:rFonts w:ascii="仿宋" w:hAnsi="仿宋" w:eastAsia="仿宋" w:cs="仿宋"/>
          <w:color w:val="auto"/>
          <w:sz w:val="28"/>
          <w:szCs w:val="28"/>
        </w:rPr>
      </w:pPr>
      <w:r>
        <w:rPr>
          <w:rFonts w:hint="eastAsia" w:ascii="仿宋" w:hAnsi="仿宋" w:eastAsia="仿宋" w:cs="仿宋"/>
          <w:color w:val="auto"/>
          <w:sz w:val="28"/>
          <w:szCs w:val="28"/>
        </w:rPr>
        <w:t>项目名称：</w:t>
      </w:r>
      <w:bookmarkStart w:id="2" w:name="OLE_LINK29"/>
      <w:r>
        <w:rPr>
          <w:rFonts w:hint="eastAsia" w:ascii="仿宋" w:hAnsi="仿宋" w:eastAsia="仿宋" w:cs="仿宋"/>
          <w:color w:val="auto"/>
          <w:sz w:val="28"/>
          <w:szCs w:val="28"/>
        </w:rPr>
        <w:t>天津市第一中心医院</w:t>
      </w:r>
      <w:bookmarkEnd w:id="2"/>
      <w:r>
        <w:rPr>
          <w:rFonts w:hint="eastAsia" w:ascii="仿宋" w:hAnsi="仿宋" w:eastAsia="仿宋" w:cs="仿宋"/>
          <w:color w:val="auto"/>
          <w:sz w:val="28"/>
          <w:szCs w:val="28"/>
        </w:rPr>
        <w:t>危化品采购项目</w:t>
      </w:r>
    </w:p>
    <w:p w14:paraId="2B9CB07D">
      <w:pPr>
        <w:pStyle w:val="8"/>
        <w:numPr>
          <w:ilvl w:val="0"/>
          <w:numId w:val="2"/>
        </w:numPr>
        <w:snapToGrid w:val="0"/>
        <w:spacing w:after="0" w:line="360" w:lineRule="auto"/>
        <w:ind w:firstLineChars="0"/>
        <w:contextualSpacing/>
        <w:rPr>
          <w:rFonts w:ascii="仿宋" w:hAnsi="仿宋" w:eastAsia="仿宋" w:cs="仿宋"/>
          <w:color w:val="auto"/>
          <w:sz w:val="28"/>
          <w:szCs w:val="28"/>
        </w:rPr>
      </w:pPr>
      <w:r>
        <w:rPr>
          <w:rFonts w:hint="eastAsia" w:ascii="仿宋" w:hAnsi="仿宋" w:eastAsia="仿宋" w:cs="仿宋"/>
          <w:color w:val="auto"/>
          <w:sz w:val="28"/>
          <w:szCs w:val="28"/>
        </w:rPr>
        <w:t>项目编号：</w:t>
      </w:r>
      <w:bookmarkStart w:id="3" w:name="OLE_LINK67"/>
      <w:bookmarkStart w:id="4" w:name="OLE_LINK22"/>
      <w:r>
        <w:rPr>
          <w:rFonts w:hint="eastAsia" w:ascii="仿宋" w:hAnsi="仿宋" w:eastAsia="仿宋" w:cs="仿宋"/>
          <w:color w:val="auto"/>
          <w:sz w:val="28"/>
          <w:szCs w:val="28"/>
        </w:rPr>
        <w:t>YNBX-202</w:t>
      </w:r>
      <w:r>
        <w:rPr>
          <w:rFonts w:ascii="仿宋" w:hAnsi="仿宋" w:eastAsia="仿宋" w:cs="仿宋"/>
          <w:color w:val="auto"/>
          <w:sz w:val="28"/>
          <w:szCs w:val="28"/>
        </w:rPr>
        <w:t>5</w:t>
      </w:r>
      <w:r>
        <w:rPr>
          <w:rFonts w:hint="eastAsia" w:ascii="仿宋" w:hAnsi="仿宋" w:eastAsia="仿宋" w:cs="仿宋"/>
          <w:color w:val="auto"/>
          <w:sz w:val="28"/>
          <w:szCs w:val="28"/>
        </w:rPr>
        <w:t>-G-800</w:t>
      </w:r>
      <w:bookmarkEnd w:id="3"/>
      <w:bookmarkEnd w:id="4"/>
      <w:r>
        <w:rPr>
          <w:rFonts w:hint="eastAsia" w:ascii="仿宋" w:hAnsi="仿宋" w:eastAsia="仿宋" w:cs="仿宋"/>
          <w:color w:val="auto"/>
          <w:sz w:val="28"/>
          <w:szCs w:val="28"/>
        </w:rPr>
        <w:t>3</w:t>
      </w:r>
    </w:p>
    <w:p w14:paraId="56BACD68">
      <w:pPr>
        <w:pStyle w:val="8"/>
        <w:numPr>
          <w:ilvl w:val="0"/>
          <w:numId w:val="2"/>
        </w:numPr>
        <w:snapToGrid w:val="0"/>
        <w:spacing w:after="0" w:line="360" w:lineRule="auto"/>
        <w:ind w:firstLineChars="0"/>
        <w:contextualSpacing/>
        <w:rPr>
          <w:rFonts w:ascii="仿宋" w:hAnsi="仿宋" w:eastAsia="仿宋" w:cs="仿宋"/>
          <w:color w:val="auto"/>
          <w:sz w:val="28"/>
          <w:szCs w:val="28"/>
        </w:rPr>
      </w:pPr>
      <w:r>
        <w:rPr>
          <w:rFonts w:hint="eastAsia" w:ascii="仿宋" w:hAnsi="仿宋" w:eastAsia="仿宋" w:cs="仿宋"/>
          <w:color w:val="auto"/>
          <w:sz w:val="28"/>
          <w:szCs w:val="28"/>
        </w:rPr>
        <w:t>项目预算：9</w:t>
      </w:r>
      <w:r>
        <w:rPr>
          <w:rFonts w:hint="eastAsia" w:ascii="仿宋" w:hAnsi="仿宋" w:eastAsia="仿宋" w:cs="仿宋"/>
          <w:color w:val="auto"/>
          <w:sz w:val="28"/>
          <w:szCs w:val="28"/>
          <w:lang w:val="en-US" w:eastAsia="zh-CN"/>
        </w:rPr>
        <w:t>80</w:t>
      </w:r>
      <w:r>
        <w:rPr>
          <w:rFonts w:hint="eastAsia" w:ascii="仿宋" w:hAnsi="仿宋" w:eastAsia="仿宋" w:cs="仿宋"/>
          <w:color w:val="auto"/>
          <w:sz w:val="28"/>
          <w:szCs w:val="28"/>
        </w:rPr>
        <w:t>00元</w:t>
      </w:r>
    </w:p>
    <w:p w14:paraId="58339A02">
      <w:pPr>
        <w:pStyle w:val="8"/>
        <w:numPr>
          <w:ilvl w:val="0"/>
          <w:numId w:val="2"/>
        </w:numPr>
        <w:snapToGrid w:val="0"/>
        <w:spacing w:after="0" w:line="360" w:lineRule="auto"/>
        <w:ind w:firstLineChars="0"/>
        <w:contextualSpacing/>
        <w:rPr>
          <w:rFonts w:ascii="仿宋" w:hAnsi="仿宋" w:eastAsia="仿宋" w:cs="仿宋"/>
          <w:sz w:val="28"/>
          <w:szCs w:val="28"/>
        </w:rPr>
      </w:pPr>
      <w:r>
        <w:rPr>
          <w:rFonts w:hint="eastAsia" w:ascii="仿宋" w:hAnsi="仿宋" w:eastAsia="仿宋" w:cs="仿宋"/>
          <w:color w:val="auto"/>
          <w:sz w:val="28"/>
          <w:szCs w:val="28"/>
        </w:rPr>
        <w:t>最高限价：9</w:t>
      </w:r>
      <w:r>
        <w:rPr>
          <w:rFonts w:hint="eastAsia" w:ascii="仿宋" w:hAnsi="仿宋" w:eastAsia="仿宋" w:cs="仿宋"/>
          <w:color w:val="auto"/>
          <w:sz w:val="28"/>
          <w:szCs w:val="28"/>
          <w:lang w:val="en-US" w:eastAsia="zh-CN"/>
        </w:rPr>
        <w:t>80</w:t>
      </w:r>
      <w:r>
        <w:rPr>
          <w:rFonts w:hint="eastAsia" w:ascii="仿宋" w:hAnsi="仿宋" w:eastAsia="仿宋" w:cs="仿宋"/>
          <w:color w:val="auto"/>
          <w:sz w:val="28"/>
          <w:szCs w:val="28"/>
        </w:rPr>
        <w:t>00元，</w:t>
      </w:r>
      <w:r>
        <w:rPr>
          <w:rFonts w:hint="eastAsia" w:ascii="仿宋" w:hAnsi="仿宋" w:eastAsia="仿宋" w:cs="仿宋"/>
          <w:sz w:val="28"/>
          <w:szCs w:val="28"/>
        </w:rPr>
        <w:t>报价超过最高限价无效。</w:t>
      </w:r>
    </w:p>
    <w:p w14:paraId="38990A16">
      <w:pPr>
        <w:pStyle w:val="8"/>
        <w:numPr>
          <w:ilvl w:val="0"/>
          <w:numId w:val="2"/>
        </w:numPr>
        <w:snapToGrid w:val="0"/>
        <w:spacing w:after="0" w:line="360" w:lineRule="auto"/>
        <w:ind w:firstLineChars="0"/>
        <w:contextualSpacing/>
        <w:rPr>
          <w:rFonts w:ascii="仿宋" w:hAnsi="仿宋" w:eastAsia="仿宋" w:cs="仿宋"/>
          <w:sz w:val="28"/>
          <w:szCs w:val="28"/>
        </w:rPr>
      </w:pPr>
      <w:r>
        <w:rPr>
          <w:rFonts w:hint="eastAsia" w:ascii="仿宋" w:hAnsi="仿宋" w:eastAsia="仿宋" w:cs="仿宋"/>
          <w:sz w:val="28"/>
          <w:szCs w:val="28"/>
        </w:rPr>
        <w:t>付款方式：以合同为准。</w:t>
      </w:r>
    </w:p>
    <w:p w14:paraId="5B34F7FE">
      <w:pPr>
        <w:pStyle w:val="3"/>
        <w:numPr>
          <w:ilvl w:val="0"/>
          <w:numId w:val="1"/>
        </w:numPr>
        <w:spacing w:after="0"/>
        <w:ind w:leftChars="0" w:right="0" w:rightChars="0" w:hanging="432"/>
        <w:rPr>
          <w:rFonts w:ascii="仿宋" w:hAnsi="仿宋" w:eastAsia="仿宋" w:cs="仿宋"/>
          <w:b/>
          <w:sz w:val="28"/>
          <w:szCs w:val="28"/>
        </w:rPr>
      </w:pPr>
      <w:r>
        <w:rPr>
          <w:rFonts w:hint="eastAsia" w:ascii="仿宋" w:hAnsi="仿宋" w:eastAsia="仿宋" w:cs="仿宋"/>
          <w:b/>
          <w:sz w:val="28"/>
          <w:szCs w:val="28"/>
        </w:rPr>
        <w:t>项目内容、数量、预算及技术指标：</w:t>
      </w:r>
    </w:p>
    <w:tbl>
      <w:tblPr>
        <w:tblStyle w:val="5"/>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166"/>
        <w:gridCol w:w="1410"/>
        <w:gridCol w:w="2100"/>
        <w:gridCol w:w="3015"/>
        <w:gridCol w:w="1242"/>
      </w:tblGrid>
      <w:tr w14:paraId="70E2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shd w:val="clear" w:color="auto" w:fill="auto"/>
            <w:vAlign w:val="center"/>
          </w:tcPr>
          <w:p w14:paraId="1035136B">
            <w:pPr>
              <w:jc w:val="center"/>
              <w:rPr>
                <w:rFonts w:ascii="仿宋" w:hAnsi="仿宋" w:eastAsia="仿宋" w:cs="仿宋"/>
                <w:sz w:val="28"/>
                <w:szCs w:val="28"/>
                <w:highlight w:val="none"/>
              </w:rPr>
            </w:pPr>
            <w:r>
              <w:rPr>
                <w:rFonts w:hint="eastAsia" w:ascii="仿宋" w:hAnsi="仿宋" w:eastAsia="仿宋" w:cs="仿宋"/>
                <w:sz w:val="28"/>
                <w:szCs w:val="28"/>
                <w:highlight w:val="none"/>
              </w:rPr>
              <w:t>序号</w:t>
            </w:r>
          </w:p>
        </w:tc>
        <w:tc>
          <w:tcPr>
            <w:tcW w:w="1166" w:type="dxa"/>
            <w:shd w:val="clear" w:color="auto" w:fill="auto"/>
            <w:vAlign w:val="center"/>
          </w:tcPr>
          <w:p w14:paraId="042E0EDF">
            <w:pPr>
              <w:jc w:val="center"/>
              <w:rPr>
                <w:rFonts w:ascii="仿宋" w:hAnsi="仿宋" w:eastAsia="仿宋" w:cs="仿宋"/>
                <w:sz w:val="28"/>
                <w:szCs w:val="28"/>
                <w:highlight w:val="none"/>
              </w:rPr>
            </w:pPr>
            <w:r>
              <w:rPr>
                <w:rFonts w:hint="eastAsia" w:ascii="仿宋" w:hAnsi="仿宋" w:eastAsia="仿宋" w:cs="仿宋"/>
                <w:sz w:val="28"/>
                <w:szCs w:val="28"/>
                <w:highlight w:val="none"/>
              </w:rPr>
              <w:t>项目内容</w:t>
            </w:r>
          </w:p>
        </w:tc>
        <w:tc>
          <w:tcPr>
            <w:tcW w:w="1410" w:type="dxa"/>
            <w:shd w:val="clear" w:color="auto" w:fill="auto"/>
            <w:vAlign w:val="center"/>
          </w:tcPr>
          <w:p w14:paraId="4864D3CF">
            <w:pPr>
              <w:jc w:val="center"/>
              <w:rPr>
                <w:rFonts w:ascii="仿宋" w:hAnsi="仿宋" w:eastAsia="仿宋" w:cs="仿宋"/>
                <w:sz w:val="28"/>
                <w:szCs w:val="28"/>
                <w:highlight w:val="none"/>
              </w:rPr>
            </w:pPr>
            <w:r>
              <w:rPr>
                <w:rFonts w:hint="eastAsia" w:ascii="仿宋" w:hAnsi="仿宋" w:eastAsia="仿宋" w:cs="仿宋"/>
                <w:sz w:val="28"/>
                <w:szCs w:val="28"/>
                <w:highlight w:val="none"/>
              </w:rPr>
              <w:t>数量</w:t>
            </w:r>
          </w:p>
          <w:p w14:paraId="58540299">
            <w:pPr>
              <w:jc w:val="center"/>
              <w:rPr>
                <w:rFonts w:ascii="仿宋" w:hAnsi="仿宋" w:eastAsia="仿宋" w:cs="仿宋"/>
                <w:sz w:val="28"/>
                <w:szCs w:val="28"/>
                <w:highlight w:val="none"/>
              </w:rPr>
            </w:pPr>
            <w:r>
              <w:rPr>
                <w:rFonts w:hint="eastAsia" w:ascii="仿宋" w:hAnsi="仿宋" w:eastAsia="仿宋" w:cs="仿宋"/>
                <w:szCs w:val="21"/>
                <w:highlight w:val="none"/>
              </w:rPr>
              <w:t>（单位：瓶）</w:t>
            </w:r>
          </w:p>
        </w:tc>
        <w:tc>
          <w:tcPr>
            <w:tcW w:w="2100" w:type="dxa"/>
            <w:shd w:val="clear" w:color="auto" w:fill="auto"/>
            <w:vAlign w:val="center"/>
          </w:tcPr>
          <w:p w14:paraId="41D942B9">
            <w:pPr>
              <w:jc w:val="center"/>
              <w:rPr>
                <w:rFonts w:ascii="仿宋" w:hAnsi="仿宋" w:eastAsia="仿宋" w:cs="仿宋"/>
                <w:sz w:val="28"/>
                <w:szCs w:val="28"/>
                <w:highlight w:val="none"/>
              </w:rPr>
            </w:pPr>
            <w:r>
              <w:rPr>
                <w:rFonts w:hint="eastAsia" w:ascii="仿宋" w:hAnsi="仿宋" w:eastAsia="仿宋" w:cs="仿宋"/>
                <w:sz w:val="28"/>
                <w:szCs w:val="28"/>
                <w:highlight w:val="none"/>
              </w:rPr>
              <w:t>标的类型</w:t>
            </w:r>
          </w:p>
        </w:tc>
        <w:tc>
          <w:tcPr>
            <w:tcW w:w="3015" w:type="dxa"/>
            <w:vAlign w:val="center"/>
          </w:tcPr>
          <w:p w14:paraId="3DDB93D3">
            <w:pPr>
              <w:jc w:val="center"/>
              <w:rPr>
                <w:rFonts w:ascii="仿宋" w:hAnsi="仿宋" w:eastAsia="仿宋" w:cs="仿宋"/>
                <w:sz w:val="28"/>
                <w:szCs w:val="28"/>
                <w:highlight w:val="none"/>
              </w:rPr>
            </w:pPr>
            <w:r>
              <w:rPr>
                <w:rFonts w:hint="eastAsia" w:ascii="仿宋" w:hAnsi="仿宋" w:eastAsia="仿宋" w:cs="仿宋"/>
                <w:sz w:val="28"/>
                <w:szCs w:val="28"/>
                <w:highlight w:val="none"/>
              </w:rPr>
              <w:t>技术需求</w:t>
            </w:r>
          </w:p>
          <w:p w14:paraId="18A72E53">
            <w:pPr>
              <w:jc w:val="center"/>
              <w:rPr>
                <w:rFonts w:ascii="仿宋" w:hAnsi="仿宋" w:eastAsia="仿宋" w:cs="仿宋"/>
                <w:sz w:val="28"/>
                <w:szCs w:val="28"/>
                <w:highlight w:val="none"/>
              </w:rPr>
            </w:pPr>
            <w:r>
              <w:rPr>
                <w:rFonts w:hint="eastAsia" w:ascii="仿宋" w:hAnsi="仿宋" w:eastAsia="仿宋" w:cs="仿宋"/>
                <w:sz w:val="28"/>
                <w:szCs w:val="28"/>
                <w:highlight w:val="none"/>
              </w:rPr>
              <w:t>(规格/执行标准）</w:t>
            </w:r>
          </w:p>
        </w:tc>
        <w:tc>
          <w:tcPr>
            <w:tcW w:w="1242" w:type="dxa"/>
            <w:shd w:val="clear" w:color="auto" w:fill="auto"/>
            <w:vAlign w:val="center"/>
          </w:tcPr>
          <w:p w14:paraId="7C385FBC">
            <w:pPr>
              <w:jc w:val="center"/>
              <w:rPr>
                <w:rFonts w:ascii="仿宋" w:hAnsi="仿宋" w:eastAsia="仿宋" w:cs="仿宋"/>
                <w:sz w:val="28"/>
                <w:szCs w:val="28"/>
                <w:highlight w:val="none"/>
              </w:rPr>
            </w:pPr>
            <w:r>
              <w:rPr>
                <w:rFonts w:hint="eastAsia" w:ascii="仿宋" w:hAnsi="仿宋" w:eastAsia="仿宋" w:cs="仿宋"/>
                <w:sz w:val="28"/>
                <w:szCs w:val="28"/>
                <w:highlight w:val="none"/>
              </w:rPr>
              <w:t>总预算金额（元）</w:t>
            </w:r>
          </w:p>
        </w:tc>
      </w:tr>
      <w:tr w14:paraId="387D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18" w:type="dxa"/>
            <w:shd w:val="clear" w:color="auto" w:fill="auto"/>
            <w:vAlign w:val="center"/>
          </w:tcPr>
          <w:p w14:paraId="73C972BE">
            <w:pPr>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1166" w:type="dxa"/>
            <w:shd w:val="clear" w:color="auto" w:fill="auto"/>
            <w:vAlign w:val="center"/>
          </w:tcPr>
          <w:p w14:paraId="7887E3B9">
            <w:pPr>
              <w:widowControl/>
              <w:jc w:val="center"/>
              <w:textAlignment w:val="center"/>
              <w:rPr>
                <w:rFonts w:ascii="仿宋" w:hAnsi="仿宋" w:eastAsia="仿宋" w:cs="仿宋"/>
                <w:sz w:val="28"/>
                <w:szCs w:val="28"/>
                <w:highlight w:val="none"/>
              </w:rPr>
            </w:pPr>
            <w:r>
              <w:rPr>
                <w:rFonts w:hint="eastAsia" w:ascii="仿宋" w:hAnsi="仿宋" w:eastAsia="仿宋" w:cs="仿宋"/>
                <w:color w:val="000000"/>
                <w:kern w:val="0"/>
                <w:sz w:val="28"/>
                <w:szCs w:val="28"/>
                <w:highlight w:val="none"/>
                <w:lang w:bidi="ar"/>
              </w:rPr>
              <w:t>甲醛</w:t>
            </w:r>
          </w:p>
        </w:tc>
        <w:tc>
          <w:tcPr>
            <w:tcW w:w="1410" w:type="dxa"/>
            <w:shd w:val="clear" w:color="auto" w:fill="auto"/>
            <w:vAlign w:val="center"/>
          </w:tcPr>
          <w:p w14:paraId="60030587">
            <w:pPr>
              <w:widowControl/>
              <w:jc w:val="center"/>
              <w:textAlignment w:val="center"/>
              <w:rPr>
                <w:rFonts w:ascii="仿宋" w:hAnsi="仿宋" w:eastAsia="仿宋" w:cs="仿宋"/>
                <w:sz w:val="28"/>
                <w:szCs w:val="28"/>
                <w:highlight w:val="none"/>
              </w:rPr>
            </w:pPr>
            <w:r>
              <w:rPr>
                <w:rFonts w:hint="eastAsia" w:ascii="仿宋" w:hAnsi="仿宋" w:eastAsia="仿宋" w:cs="仿宋"/>
                <w:sz w:val="28"/>
                <w:szCs w:val="28"/>
                <w:highlight w:val="none"/>
              </w:rPr>
              <w:t>190</w:t>
            </w:r>
          </w:p>
        </w:tc>
        <w:tc>
          <w:tcPr>
            <w:tcW w:w="2100" w:type="dxa"/>
            <w:shd w:val="clear" w:color="auto" w:fill="auto"/>
            <w:vAlign w:val="center"/>
          </w:tcPr>
          <w:p w14:paraId="77DB12A4">
            <w:pPr>
              <w:widowControl/>
              <w:jc w:val="center"/>
              <w:textAlignment w:val="center"/>
              <w:rPr>
                <w:rFonts w:ascii="仿宋" w:hAnsi="仿宋" w:eastAsia="仿宋" w:cs="仿宋"/>
                <w:sz w:val="28"/>
                <w:szCs w:val="28"/>
                <w:highlight w:val="none"/>
              </w:rPr>
            </w:pPr>
            <w:r>
              <w:rPr>
                <w:rFonts w:hint="eastAsia" w:ascii="仿宋" w:hAnsi="仿宋" w:eastAsia="仿宋" w:cs="仿宋"/>
                <w:color w:val="000000"/>
                <w:kern w:val="0"/>
                <w:sz w:val="28"/>
                <w:szCs w:val="28"/>
                <w:highlight w:val="none"/>
                <w:lang w:bidi="ar"/>
              </w:rPr>
              <w:t>危险化学品</w:t>
            </w:r>
          </w:p>
        </w:tc>
        <w:tc>
          <w:tcPr>
            <w:tcW w:w="3015" w:type="dxa"/>
            <w:vAlign w:val="center"/>
          </w:tcPr>
          <w:p w14:paraId="6287BB27">
            <w:pPr>
              <w:widowControl/>
              <w:jc w:val="center"/>
              <w:textAlignment w:val="center"/>
              <w:rPr>
                <w:rFonts w:ascii="仿宋" w:hAnsi="仿宋" w:eastAsia="仿宋" w:cs="仿宋"/>
                <w:sz w:val="28"/>
                <w:szCs w:val="28"/>
                <w:highlight w:val="none"/>
              </w:rPr>
            </w:pPr>
            <w:r>
              <w:rPr>
                <w:rFonts w:hint="eastAsia" w:ascii="仿宋" w:hAnsi="仿宋" w:eastAsia="仿宋" w:cs="仿宋"/>
                <w:color w:val="000000"/>
                <w:kern w:val="0"/>
                <w:sz w:val="28"/>
                <w:szCs w:val="28"/>
                <w:highlight w:val="none"/>
                <w:lang w:bidi="ar"/>
              </w:rPr>
              <w:t>分析纯</w:t>
            </w:r>
          </w:p>
        </w:tc>
        <w:tc>
          <w:tcPr>
            <w:tcW w:w="1242" w:type="dxa"/>
            <w:vMerge w:val="restart"/>
            <w:shd w:val="clear" w:color="auto" w:fill="auto"/>
            <w:vAlign w:val="center"/>
          </w:tcPr>
          <w:p w14:paraId="555ACCC7">
            <w:pPr>
              <w:jc w:val="center"/>
              <w:rPr>
                <w:rFonts w:ascii="仿宋" w:hAnsi="仿宋" w:eastAsia="仿宋" w:cs="仿宋"/>
                <w:sz w:val="28"/>
                <w:szCs w:val="28"/>
                <w:highlight w:val="none"/>
              </w:rPr>
            </w:pPr>
            <w:r>
              <w:rPr>
                <w:rFonts w:hint="eastAsia" w:ascii="仿宋" w:hAnsi="仿宋" w:eastAsia="仿宋" w:cs="仿宋"/>
                <w:sz w:val="28"/>
                <w:szCs w:val="28"/>
                <w:highlight w:val="none"/>
              </w:rPr>
              <w:t>9</w:t>
            </w:r>
            <w:r>
              <w:rPr>
                <w:rFonts w:hint="eastAsia" w:ascii="仿宋" w:hAnsi="仿宋" w:eastAsia="仿宋" w:cs="仿宋"/>
                <w:sz w:val="28"/>
                <w:szCs w:val="28"/>
                <w:highlight w:val="none"/>
                <w:lang w:val="en-US" w:eastAsia="zh-CN"/>
              </w:rPr>
              <w:t>80</w:t>
            </w:r>
            <w:r>
              <w:rPr>
                <w:rFonts w:hint="eastAsia" w:ascii="仿宋" w:hAnsi="仿宋" w:eastAsia="仿宋" w:cs="仿宋"/>
                <w:sz w:val="28"/>
                <w:szCs w:val="28"/>
                <w:highlight w:val="none"/>
              </w:rPr>
              <w:t>00</w:t>
            </w:r>
          </w:p>
        </w:tc>
      </w:tr>
      <w:tr w14:paraId="0CDC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18" w:type="dxa"/>
            <w:shd w:val="clear" w:color="auto" w:fill="auto"/>
            <w:vAlign w:val="center"/>
          </w:tcPr>
          <w:p w14:paraId="6D5FB5FD">
            <w:pPr>
              <w:jc w:val="center"/>
              <w:rPr>
                <w:rFonts w:ascii="仿宋" w:hAnsi="仿宋" w:eastAsia="仿宋" w:cs="仿宋"/>
                <w:sz w:val="28"/>
                <w:szCs w:val="28"/>
                <w:highlight w:val="none"/>
              </w:rPr>
            </w:pPr>
            <w:bookmarkStart w:id="5" w:name="OLE_LINK19"/>
            <w:bookmarkStart w:id="6" w:name="OLE_LINK16"/>
            <w:r>
              <w:rPr>
                <w:rFonts w:hint="eastAsia" w:ascii="仿宋" w:hAnsi="仿宋" w:eastAsia="仿宋" w:cs="仿宋"/>
                <w:sz w:val="28"/>
                <w:szCs w:val="28"/>
                <w:highlight w:val="none"/>
              </w:rPr>
              <w:t>2</w:t>
            </w:r>
          </w:p>
        </w:tc>
        <w:tc>
          <w:tcPr>
            <w:tcW w:w="1166" w:type="dxa"/>
            <w:shd w:val="clear" w:color="auto" w:fill="auto"/>
            <w:vAlign w:val="center"/>
          </w:tcPr>
          <w:p w14:paraId="42659C6F">
            <w:pPr>
              <w:widowControl/>
              <w:textAlignment w:val="center"/>
              <w:rPr>
                <w:rFonts w:ascii="仿宋" w:hAnsi="仿宋" w:eastAsia="仿宋" w:cs="仿宋"/>
                <w:sz w:val="28"/>
                <w:szCs w:val="28"/>
                <w:highlight w:val="none"/>
              </w:rPr>
            </w:pPr>
            <w:r>
              <w:rPr>
                <w:rFonts w:hint="eastAsia" w:ascii="仿宋" w:hAnsi="仿宋" w:eastAsia="仿宋" w:cs="仿宋"/>
                <w:sz w:val="28"/>
                <w:szCs w:val="28"/>
                <w:highlight w:val="none"/>
              </w:rPr>
              <w:t>二甲苯</w:t>
            </w:r>
          </w:p>
        </w:tc>
        <w:tc>
          <w:tcPr>
            <w:tcW w:w="1410" w:type="dxa"/>
            <w:shd w:val="clear" w:color="auto" w:fill="auto"/>
            <w:vAlign w:val="center"/>
          </w:tcPr>
          <w:p w14:paraId="4B6EAB84">
            <w:pPr>
              <w:widowControl/>
              <w:jc w:val="center"/>
              <w:textAlignment w:val="center"/>
              <w:rPr>
                <w:rFonts w:ascii="仿宋" w:hAnsi="仿宋" w:eastAsia="仿宋" w:cs="仿宋"/>
                <w:sz w:val="28"/>
                <w:szCs w:val="28"/>
                <w:highlight w:val="none"/>
              </w:rPr>
            </w:pPr>
            <w:r>
              <w:rPr>
                <w:rFonts w:hint="eastAsia" w:ascii="仿宋" w:hAnsi="仿宋" w:eastAsia="仿宋" w:cs="仿宋"/>
                <w:sz w:val="28"/>
                <w:szCs w:val="28"/>
                <w:highlight w:val="none"/>
              </w:rPr>
              <w:t>840</w:t>
            </w:r>
          </w:p>
        </w:tc>
        <w:tc>
          <w:tcPr>
            <w:tcW w:w="2100" w:type="dxa"/>
            <w:shd w:val="clear" w:color="auto" w:fill="auto"/>
            <w:vAlign w:val="center"/>
          </w:tcPr>
          <w:p w14:paraId="1DAECD51">
            <w:pPr>
              <w:widowControl/>
              <w:jc w:val="center"/>
              <w:textAlignment w:val="center"/>
              <w:rPr>
                <w:rFonts w:ascii="仿宋" w:hAnsi="仿宋" w:eastAsia="仿宋" w:cs="仿宋"/>
                <w:sz w:val="28"/>
                <w:szCs w:val="28"/>
                <w:highlight w:val="none"/>
              </w:rPr>
            </w:pPr>
            <w:r>
              <w:rPr>
                <w:rFonts w:hint="eastAsia" w:ascii="仿宋" w:hAnsi="仿宋" w:eastAsia="仿宋" w:cs="仿宋"/>
                <w:color w:val="000000"/>
                <w:kern w:val="0"/>
                <w:sz w:val="28"/>
                <w:szCs w:val="28"/>
                <w:highlight w:val="none"/>
                <w:lang w:bidi="ar"/>
              </w:rPr>
              <w:t>危险化学品</w:t>
            </w:r>
          </w:p>
        </w:tc>
        <w:tc>
          <w:tcPr>
            <w:tcW w:w="3015" w:type="dxa"/>
            <w:vAlign w:val="center"/>
          </w:tcPr>
          <w:p w14:paraId="71CF03A8">
            <w:pPr>
              <w:widowControl/>
              <w:jc w:val="center"/>
              <w:textAlignment w:val="center"/>
              <w:rPr>
                <w:rFonts w:ascii="仿宋" w:hAnsi="仿宋" w:eastAsia="仿宋" w:cs="仿宋"/>
                <w:sz w:val="28"/>
                <w:szCs w:val="28"/>
                <w:highlight w:val="none"/>
              </w:rPr>
            </w:pPr>
            <w:r>
              <w:rPr>
                <w:rFonts w:hint="eastAsia" w:ascii="仿宋" w:hAnsi="仿宋" w:eastAsia="仿宋" w:cs="仿宋"/>
                <w:color w:val="000000"/>
                <w:kern w:val="0"/>
                <w:sz w:val="28"/>
                <w:szCs w:val="28"/>
                <w:highlight w:val="none"/>
                <w:lang w:bidi="ar"/>
              </w:rPr>
              <w:t>分析纯</w:t>
            </w:r>
          </w:p>
        </w:tc>
        <w:tc>
          <w:tcPr>
            <w:tcW w:w="1242" w:type="dxa"/>
            <w:vMerge w:val="continue"/>
            <w:shd w:val="clear" w:color="auto" w:fill="auto"/>
            <w:vAlign w:val="center"/>
          </w:tcPr>
          <w:p w14:paraId="2E19E4A4">
            <w:pPr>
              <w:jc w:val="center"/>
              <w:rPr>
                <w:rFonts w:ascii="仿宋" w:hAnsi="仿宋" w:eastAsia="仿宋" w:cs="仿宋"/>
                <w:sz w:val="28"/>
                <w:szCs w:val="28"/>
                <w:highlight w:val="none"/>
              </w:rPr>
            </w:pPr>
          </w:p>
        </w:tc>
      </w:tr>
      <w:tr w14:paraId="3FEA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18" w:type="dxa"/>
            <w:shd w:val="clear" w:color="auto" w:fill="auto"/>
            <w:vAlign w:val="center"/>
          </w:tcPr>
          <w:p w14:paraId="64646CBD">
            <w:pPr>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1166" w:type="dxa"/>
            <w:shd w:val="clear" w:color="auto" w:fill="auto"/>
            <w:vAlign w:val="center"/>
          </w:tcPr>
          <w:p w14:paraId="570795D8">
            <w:pPr>
              <w:widowControl/>
              <w:textAlignment w:val="center"/>
              <w:rPr>
                <w:rFonts w:ascii="仿宋" w:hAnsi="仿宋" w:eastAsia="仿宋" w:cs="仿宋"/>
                <w:sz w:val="28"/>
                <w:szCs w:val="28"/>
                <w:highlight w:val="none"/>
              </w:rPr>
            </w:pPr>
            <w:r>
              <w:rPr>
                <w:rFonts w:hint="eastAsia" w:ascii="仿宋" w:hAnsi="仿宋" w:eastAsia="仿宋" w:cs="仿宋"/>
                <w:sz w:val="24"/>
                <w:highlight w:val="none"/>
              </w:rPr>
              <w:t>95%乙醇</w:t>
            </w:r>
          </w:p>
        </w:tc>
        <w:tc>
          <w:tcPr>
            <w:tcW w:w="1410" w:type="dxa"/>
            <w:shd w:val="clear" w:color="auto" w:fill="auto"/>
            <w:vAlign w:val="center"/>
          </w:tcPr>
          <w:p w14:paraId="3147A996">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1040</w:t>
            </w:r>
          </w:p>
        </w:tc>
        <w:tc>
          <w:tcPr>
            <w:tcW w:w="2100" w:type="dxa"/>
            <w:shd w:val="clear" w:color="auto" w:fill="auto"/>
            <w:vAlign w:val="center"/>
          </w:tcPr>
          <w:p w14:paraId="33D7F0C4">
            <w:pPr>
              <w:widowControl/>
              <w:jc w:val="center"/>
              <w:textAlignment w:val="center"/>
              <w:rPr>
                <w:rFonts w:ascii="仿宋" w:hAnsi="仿宋" w:eastAsia="仿宋" w:cs="仿宋"/>
                <w:sz w:val="28"/>
                <w:szCs w:val="28"/>
                <w:highlight w:val="none"/>
              </w:rPr>
            </w:pPr>
            <w:r>
              <w:rPr>
                <w:rFonts w:hint="eastAsia" w:ascii="仿宋" w:hAnsi="仿宋" w:eastAsia="仿宋" w:cs="仿宋"/>
                <w:color w:val="000000"/>
                <w:kern w:val="0"/>
                <w:sz w:val="28"/>
                <w:szCs w:val="28"/>
                <w:highlight w:val="none"/>
                <w:lang w:bidi="ar"/>
              </w:rPr>
              <w:t>危险化学品</w:t>
            </w:r>
          </w:p>
        </w:tc>
        <w:tc>
          <w:tcPr>
            <w:tcW w:w="3015" w:type="dxa"/>
            <w:shd w:val="clear" w:color="auto" w:fill="auto"/>
            <w:vAlign w:val="center"/>
          </w:tcPr>
          <w:p w14:paraId="133B3BF2">
            <w:pPr>
              <w:widowControl/>
              <w:jc w:val="center"/>
              <w:textAlignment w:val="center"/>
              <w:rPr>
                <w:rFonts w:ascii="仿宋" w:hAnsi="仿宋" w:eastAsia="仿宋" w:cs="仿宋"/>
                <w:sz w:val="28"/>
                <w:szCs w:val="28"/>
                <w:highlight w:val="none"/>
              </w:rPr>
            </w:pPr>
            <w:r>
              <w:rPr>
                <w:rFonts w:hint="eastAsia" w:ascii="仿宋" w:hAnsi="仿宋" w:eastAsia="仿宋" w:cs="仿宋"/>
                <w:color w:val="000000"/>
                <w:kern w:val="0"/>
                <w:sz w:val="28"/>
                <w:szCs w:val="28"/>
                <w:highlight w:val="none"/>
                <w:lang w:bidi="ar"/>
              </w:rPr>
              <w:t>分析纯</w:t>
            </w:r>
          </w:p>
        </w:tc>
        <w:tc>
          <w:tcPr>
            <w:tcW w:w="1242" w:type="dxa"/>
            <w:vMerge w:val="continue"/>
            <w:shd w:val="clear" w:color="auto" w:fill="auto"/>
            <w:vAlign w:val="center"/>
          </w:tcPr>
          <w:p w14:paraId="3991F23A">
            <w:pPr>
              <w:jc w:val="center"/>
              <w:rPr>
                <w:rFonts w:ascii="仿宋" w:hAnsi="仿宋" w:eastAsia="仿宋" w:cs="仿宋"/>
                <w:sz w:val="28"/>
                <w:szCs w:val="28"/>
                <w:highlight w:val="none"/>
              </w:rPr>
            </w:pPr>
          </w:p>
        </w:tc>
      </w:tr>
      <w:tr w14:paraId="0A49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18" w:type="dxa"/>
            <w:shd w:val="clear" w:color="auto" w:fill="auto"/>
            <w:vAlign w:val="center"/>
          </w:tcPr>
          <w:p w14:paraId="65CC4DB0">
            <w:pPr>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1166" w:type="dxa"/>
            <w:shd w:val="clear" w:color="auto" w:fill="auto"/>
            <w:vAlign w:val="center"/>
          </w:tcPr>
          <w:p w14:paraId="37B7E56B">
            <w:pPr>
              <w:widowControl/>
              <w:textAlignment w:val="center"/>
              <w:rPr>
                <w:rFonts w:ascii="仿宋" w:hAnsi="仿宋" w:eastAsia="仿宋" w:cs="仿宋"/>
                <w:sz w:val="28"/>
                <w:szCs w:val="28"/>
                <w:highlight w:val="none"/>
              </w:rPr>
            </w:pPr>
            <w:r>
              <w:rPr>
                <w:rFonts w:hint="eastAsia" w:ascii="仿宋" w:hAnsi="仿宋" w:eastAsia="仿宋" w:cs="仿宋"/>
                <w:szCs w:val="21"/>
                <w:highlight w:val="none"/>
              </w:rPr>
              <w:t>无水乙醇</w:t>
            </w:r>
          </w:p>
        </w:tc>
        <w:tc>
          <w:tcPr>
            <w:tcW w:w="1410" w:type="dxa"/>
            <w:shd w:val="clear" w:color="auto" w:fill="auto"/>
            <w:vAlign w:val="center"/>
          </w:tcPr>
          <w:p w14:paraId="3BEB38AE">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3200</w:t>
            </w:r>
          </w:p>
        </w:tc>
        <w:tc>
          <w:tcPr>
            <w:tcW w:w="2100" w:type="dxa"/>
            <w:shd w:val="clear" w:color="auto" w:fill="auto"/>
            <w:vAlign w:val="center"/>
          </w:tcPr>
          <w:p w14:paraId="0E1EA32A">
            <w:pPr>
              <w:widowControl/>
              <w:jc w:val="center"/>
              <w:textAlignment w:val="center"/>
              <w:rPr>
                <w:rFonts w:ascii="仿宋" w:hAnsi="仿宋" w:eastAsia="仿宋" w:cs="仿宋"/>
                <w:sz w:val="28"/>
                <w:szCs w:val="28"/>
                <w:highlight w:val="none"/>
              </w:rPr>
            </w:pPr>
            <w:r>
              <w:rPr>
                <w:rFonts w:hint="eastAsia" w:ascii="仿宋" w:hAnsi="仿宋" w:eastAsia="仿宋" w:cs="仿宋"/>
                <w:color w:val="000000"/>
                <w:kern w:val="0"/>
                <w:sz w:val="28"/>
                <w:szCs w:val="28"/>
                <w:highlight w:val="none"/>
                <w:lang w:bidi="ar"/>
              </w:rPr>
              <w:t>危险化学品</w:t>
            </w:r>
          </w:p>
        </w:tc>
        <w:tc>
          <w:tcPr>
            <w:tcW w:w="3015" w:type="dxa"/>
            <w:shd w:val="clear" w:color="auto" w:fill="auto"/>
            <w:vAlign w:val="center"/>
          </w:tcPr>
          <w:p w14:paraId="7A86A1A2">
            <w:pPr>
              <w:widowControl/>
              <w:jc w:val="center"/>
              <w:textAlignment w:val="center"/>
              <w:rPr>
                <w:rFonts w:ascii="仿宋" w:hAnsi="仿宋" w:eastAsia="仿宋" w:cs="仿宋"/>
                <w:sz w:val="28"/>
                <w:szCs w:val="28"/>
                <w:highlight w:val="none"/>
              </w:rPr>
            </w:pPr>
            <w:r>
              <w:rPr>
                <w:rFonts w:hint="eastAsia" w:ascii="仿宋" w:hAnsi="仿宋" w:eastAsia="仿宋" w:cs="仿宋"/>
                <w:color w:val="000000"/>
                <w:kern w:val="0"/>
                <w:sz w:val="28"/>
                <w:szCs w:val="28"/>
                <w:highlight w:val="none"/>
                <w:lang w:bidi="ar"/>
              </w:rPr>
              <w:t>分析纯</w:t>
            </w:r>
          </w:p>
        </w:tc>
        <w:tc>
          <w:tcPr>
            <w:tcW w:w="1242" w:type="dxa"/>
            <w:vMerge w:val="continue"/>
            <w:shd w:val="clear" w:color="auto" w:fill="auto"/>
            <w:vAlign w:val="center"/>
          </w:tcPr>
          <w:p w14:paraId="4F4B4872">
            <w:pPr>
              <w:jc w:val="center"/>
              <w:rPr>
                <w:rFonts w:ascii="仿宋" w:hAnsi="仿宋" w:eastAsia="仿宋" w:cs="仿宋"/>
                <w:sz w:val="28"/>
                <w:szCs w:val="28"/>
                <w:highlight w:val="none"/>
              </w:rPr>
            </w:pPr>
          </w:p>
        </w:tc>
      </w:tr>
      <w:tr w14:paraId="0691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18" w:type="dxa"/>
            <w:shd w:val="clear" w:color="auto" w:fill="auto"/>
            <w:vAlign w:val="center"/>
          </w:tcPr>
          <w:p w14:paraId="2D5DBB2D">
            <w:pPr>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1166" w:type="dxa"/>
            <w:shd w:val="clear" w:color="auto" w:fill="auto"/>
            <w:vAlign w:val="center"/>
          </w:tcPr>
          <w:p w14:paraId="1025B5AD">
            <w:pPr>
              <w:widowControl/>
              <w:textAlignment w:val="center"/>
              <w:rPr>
                <w:rFonts w:ascii="仿宋" w:hAnsi="仿宋" w:eastAsia="仿宋" w:cs="仿宋"/>
                <w:sz w:val="28"/>
                <w:szCs w:val="28"/>
                <w:highlight w:val="none"/>
              </w:rPr>
            </w:pPr>
            <w:r>
              <w:rPr>
                <w:rFonts w:hint="eastAsia" w:ascii="仿宋" w:hAnsi="仿宋" w:eastAsia="仿宋" w:cs="仿宋"/>
                <w:sz w:val="28"/>
                <w:szCs w:val="28"/>
                <w:highlight w:val="none"/>
              </w:rPr>
              <w:t>冰醋酸</w:t>
            </w:r>
          </w:p>
        </w:tc>
        <w:tc>
          <w:tcPr>
            <w:tcW w:w="1410" w:type="dxa"/>
            <w:shd w:val="clear" w:color="auto" w:fill="auto"/>
            <w:vAlign w:val="center"/>
          </w:tcPr>
          <w:p w14:paraId="5EEB1BFC">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15</w:t>
            </w:r>
          </w:p>
        </w:tc>
        <w:tc>
          <w:tcPr>
            <w:tcW w:w="2100" w:type="dxa"/>
            <w:shd w:val="clear" w:color="auto" w:fill="auto"/>
            <w:vAlign w:val="center"/>
          </w:tcPr>
          <w:p w14:paraId="6E7C673B">
            <w:pPr>
              <w:widowControl/>
              <w:jc w:val="center"/>
              <w:textAlignment w:val="center"/>
              <w:rPr>
                <w:rFonts w:ascii="仿宋" w:hAnsi="仿宋" w:eastAsia="仿宋" w:cs="仿宋"/>
                <w:sz w:val="28"/>
                <w:szCs w:val="28"/>
                <w:highlight w:val="none"/>
              </w:rPr>
            </w:pPr>
            <w:r>
              <w:rPr>
                <w:rFonts w:hint="eastAsia" w:ascii="仿宋" w:hAnsi="仿宋" w:eastAsia="仿宋" w:cs="仿宋"/>
                <w:color w:val="000000"/>
                <w:kern w:val="0"/>
                <w:sz w:val="28"/>
                <w:szCs w:val="28"/>
                <w:highlight w:val="none"/>
                <w:lang w:bidi="ar"/>
              </w:rPr>
              <w:t>危险化学品</w:t>
            </w:r>
          </w:p>
        </w:tc>
        <w:tc>
          <w:tcPr>
            <w:tcW w:w="3015" w:type="dxa"/>
            <w:shd w:val="clear" w:color="auto" w:fill="auto"/>
            <w:vAlign w:val="center"/>
          </w:tcPr>
          <w:p w14:paraId="7DCACA6C">
            <w:pPr>
              <w:widowControl/>
              <w:jc w:val="center"/>
              <w:textAlignment w:val="center"/>
              <w:rPr>
                <w:rFonts w:ascii="仿宋" w:hAnsi="仿宋" w:eastAsia="仿宋" w:cs="仿宋"/>
                <w:sz w:val="28"/>
                <w:szCs w:val="28"/>
                <w:highlight w:val="none"/>
              </w:rPr>
            </w:pPr>
            <w:r>
              <w:rPr>
                <w:rFonts w:hint="eastAsia" w:ascii="仿宋" w:hAnsi="仿宋" w:eastAsia="仿宋" w:cs="仿宋"/>
                <w:color w:val="000000"/>
                <w:kern w:val="0"/>
                <w:sz w:val="28"/>
                <w:szCs w:val="28"/>
                <w:highlight w:val="none"/>
                <w:lang w:bidi="ar"/>
              </w:rPr>
              <w:t>分析纯</w:t>
            </w:r>
          </w:p>
        </w:tc>
        <w:tc>
          <w:tcPr>
            <w:tcW w:w="1242" w:type="dxa"/>
            <w:vMerge w:val="continue"/>
            <w:shd w:val="clear" w:color="auto" w:fill="auto"/>
            <w:vAlign w:val="center"/>
          </w:tcPr>
          <w:p w14:paraId="71022C0B">
            <w:pPr>
              <w:jc w:val="center"/>
              <w:rPr>
                <w:rFonts w:ascii="仿宋" w:hAnsi="仿宋" w:eastAsia="仿宋" w:cs="仿宋"/>
                <w:sz w:val="28"/>
                <w:szCs w:val="28"/>
                <w:highlight w:val="none"/>
              </w:rPr>
            </w:pPr>
          </w:p>
        </w:tc>
      </w:tr>
      <w:tr w14:paraId="0569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18" w:type="dxa"/>
            <w:shd w:val="clear" w:color="auto" w:fill="auto"/>
            <w:vAlign w:val="center"/>
          </w:tcPr>
          <w:p w14:paraId="6E3EFF69">
            <w:pPr>
              <w:jc w:val="center"/>
              <w:rPr>
                <w:rFonts w:ascii="仿宋" w:hAnsi="仿宋" w:eastAsia="仿宋" w:cs="仿宋"/>
                <w:sz w:val="28"/>
                <w:szCs w:val="28"/>
                <w:highlight w:val="none"/>
              </w:rPr>
            </w:pPr>
            <w:r>
              <w:rPr>
                <w:rFonts w:hint="eastAsia" w:ascii="仿宋" w:hAnsi="仿宋" w:eastAsia="仿宋" w:cs="仿宋"/>
                <w:sz w:val="28"/>
                <w:szCs w:val="28"/>
                <w:highlight w:val="none"/>
              </w:rPr>
              <w:t>6</w:t>
            </w:r>
          </w:p>
        </w:tc>
        <w:tc>
          <w:tcPr>
            <w:tcW w:w="1166" w:type="dxa"/>
            <w:shd w:val="clear" w:color="auto" w:fill="auto"/>
            <w:vAlign w:val="center"/>
          </w:tcPr>
          <w:p w14:paraId="67DC35CC">
            <w:pPr>
              <w:widowControl/>
              <w:textAlignment w:val="center"/>
              <w:rPr>
                <w:rFonts w:ascii="仿宋" w:hAnsi="仿宋" w:eastAsia="仿宋" w:cs="仿宋"/>
                <w:sz w:val="28"/>
                <w:szCs w:val="28"/>
                <w:highlight w:val="none"/>
              </w:rPr>
            </w:pPr>
            <w:r>
              <w:rPr>
                <w:rFonts w:hint="eastAsia" w:ascii="仿宋" w:hAnsi="仿宋" w:eastAsia="仿宋" w:cs="仿宋"/>
                <w:sz w:val="28"/>
                <w:szCs w:val="28"/>
                <w:highlight w:val="none"/>
              </w:rPr>
              <w:t>甲醇</w:t>
            </w:r>
          </w:p>
        </w:tc>
        <w:tc>
          <w:tcPr>
            <w:tcW w:w="1410" w:type="dxa"/>
            <w:shd w:val="clear" w:color="auto" w:fill="auto"/>
            <w:vAlign w:val="center"/>
          </w:tcPr>
          <w:p w14:paraId="4499B192">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653</w:t>
            </w:r>
          </w:p>
        </w:tc>
        <w:tc>
          <w:tcPr>
            <w:tcW w:w="2100" w:type="dxa"/>
            <w:shd w:val="clear" w:color="auto" w:fill="auto"/>
            <w:vAlign w:val="center"/>
          </w:tcPr>
          <w:p w14:paraId="7EDD960D">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危险化学品</w:t>
            </w:r>
          </w:p>
        </w:tc>
        <w:tc>
          <w:tcPr>
            <w:tcW w:w="3015" w:type="dxa"/>
            <w:shd w:val="clear" w:color="auto" w:fill="auto"/>
            <w:vAlign w:val="center"/>
          </w:tcPr>
          <w:p w14:paraId="76790096">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分析纯</w:t>
            </w:r>
          </w:p>
        </w:tc>
        <w:tc>
          <w:tcPr>
            <w:tcW w:w="1242" w:type="dxa"/>
            <w:vMerge w:val="continue"/>
            <w:shd w:val="clear" w:color="auto" w:fill="auto"/>
            <w:vAlign w:val="center"/>
          </w:tcPr>
          <w:p w14:paraId="2D5995F8">
            <w:pPr>
              <w:jc w:val="center"/>
              <w:rPr>
                <w:rFonts w:ascii="仿宋" w:hAnsi="仿宋" w:eastAsia="仿宋" w:cs="仿宋"/>
                <w:sz w:val="28"/>
                <w:szCs w:val="28"/>
                <w:highlight w:val="none"/>
              </w:rPr>
            </w:pPr>
          </w:p>
        </w:tc>
      </w:tr>
      <w:tr w14:paraId="47BF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18" w:type="dxa"/>
            <w:shd w:val="clear" w:color="auto" w:fill="auto"/>
            <w:vAlign w:val="center"/>
          </w:tcPr>
          <w:p w14:paraId="0ADFEE14">
            <w:pPr>
              <w:jc w:val="center"/>
              <w:rPr>
                <w:rFonts w:ascii="仿宋" w:hAnsi="仿宋" w:eastAsia="仿宋" w:cs="仿宋"/>
                <w:sz w:val="28"/>
                <w:szCs w:val="28"/>
                <w:highlight w:val="none"/>
              </w:rPr>
            </w:pPr>
            <w:r>
              <w:rPr>
                <w:rFonts w:hint="eastAsia" w:ascii="仿宋" w:hAnsi="仿宋" w:eastAsia="仿宋" w:cs="仿宋"/>
                <w:sz w:val="28"/>
                <w:szCs w:val="28"/>
                <w:highlight w:val="none"/>
              </w:rPr>
              <w:t>7</w:t>
            </w:r>
          </w:p>
        </w:tc>
        <w:tc>
          <w:tcPr>
            <w:tcW w:w="1166" w:type="dxa"/>
            <w:shd w:val="clear" w:color="auto" w:fill="auto"/>
            <w:vAlign w:val="center"/>
          </w:tcPr>
          <w:p w14:paraId="19CBCA1D">
            <w:pPr>
              <w:widowControl/>
              <w:textAlignment w:val="center"/>
              <w:rPr>
                <w:rFonts w:ascii="仿宋" w:hAnsi="仿宋" w:eastAsia="仿宋" w:cs="仿宋"/>
                <w:sz w:val="28"/>
                <w:szCs w:val="28"/>
                <w:highlight w:val="none"/>
              </w:rPr>
            </w:pPr>
            <w:r>
              <w:rPr>
                <w:rFonts w:hint="eastAsia" w:ascii="仿宋" w:hAnsi="仿宋" w:eastAsia="仿宋" w:cs="仿宋"/>
                <w:sz w:val="24"/>
                <w:highlight w:val="none"/>
              </w:rPr>
              <w:t>Fisher</w:t>
            </w:r>
            <w:r>
              <w:rPr>
                <w:rFonts w:hint="eastAsia" w:ascii="仿宋" w:hAnsi="仿宋" w:eastAsia="仿宋" w:cs="仿宋"/>
                <w:szCs w:val="21"/>
                <w:highlight w:val="none"/>
              </w:rPr>
              <w:t>色谱甲醇</w:t>
            </w:r>
          </w:p>
        </w:tc>
        <w:tc>
          <w:tcPr>
            <w:tcW w:w="1410" w:type="dxa"/>
            <w:shd w:val="clear" w:color="auto" w:fill="auto"/>
            <w:vAlign w:val="center"/>
          </w:tcPr>
          <w:p w14:paraId="0CA89156">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8</w:t>
            </w:r>
          </w:p>
        </w:tc>
        <w:tc>
          <w:tcPr>
            <w:tcW w:w="2100" w:type="dxa"/>
            <w:shd w:val="clear" w:color="auto" w:fill="auto"/>
            <w:vAlign w:val="center"/>
          </w:tcPr>
          <w:p w14:paraId="31DE689C">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危险化学品</w:t>
            </w:r>
          </w:p>
        </w:tc>
        <w:tc>
          <w:tcPr>
            <w:tcW w:w="3015" w:type="dxa"/>
            <w:shd w:val="clear" w:color="auto" w:fill="auto"/>
            <w:vAlign w:val="center"/>
          </w:tcPr>
          <w:p w14:paraId="1F88EC47">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色谱纯</w:t>
            </w:r>
          </w:p>
        </w:tc>
        <w:tc>
          <w:tcPr>
            <w:tcW w:w="1242" w:type="dxa"/>
            <w:vMerge w:val="continue"/>
            <w:shd w:val="clear" w:color="auto" w:fill="auto"/>
            <w:vAlign w:val="center"/>
          </w:tcPr>
          <w:p w14:paraId="273E6D68">
            <w:pPr>
              <w:jc w:val="center"/>
              <w:rPr>
                <w:rFonts w:ascii="仿宋" w:hAnsi="仿宋" w:eastAsia="仿宋" w:cs="仿宋"/>
                <w:sz w:val="28"/>
                <w:szCs w:val="28"/>
                <w:highlight w:val="none"/>
              </w:rPr>
            </w:pPr>
          </w:p>
        </w:tc>
      </w:tr>
      <w:tr w14:paraId="73A4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18" w:type="dxa"/>
            <w:shd w:val="clear" w:color="auto" w:fill="auto"/>
            <w:vAlign w:val="center"/>
          </w:tcPr>
          <w:p w14:paraId="6FACAFA3">
            <w:pPr>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1166" w:type="dxa"/>
            <w:shd w:val="clear" w:color="auto" w:fill="auto"/>
            <w:vAlign w:val="center"/>
          </w:tcPr>
          <w:p w14:paraId="53CB1EDB">
            <w:pPr>
              <w:widowControl/>
              <w:textAlignment w:val="center"/>
              <w:rPr>
                <w:rFonts w:ascii="仿宋" w:hAnsi="仿宋" w:eastAsia="仿宋" w:cs="仿宋"/>
                <w:sz w:val="28"/>
                <w:szCs w:val="28"/>
                <w:highlight w:val="none"/>
              </w:rPr>
            </w:pPr>
            <w:r>
              <w:rPr>
                <w:rFonts w:hint="eastAsia" w:ascii="仿宋" w:hAnsi="仿宋" w:eastAsia="仿宋" w:cs="仿宋"/>
                <w:szCs w:val="21"/>
                <w:highlight w:val="none"/>
              </w:rPr>
              <w:t>色谱乙腈</w:t>
            </w:r>
          </w:p>
        </w:tc>
        <w:tc>
          <w:tcPr>
            <w:tcW w:w="1410" w:type="dxa"/>
            <w:shd w:val="clear" w:color="auto" w:fill="auto"/>
            <w:vAlign w:val="center"/>
          </w:tcPr>
          <w:p w14:paraId="7729E32F">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2</w:t>
            </w:r>
          </w:p>
        </w:tc>
        <w:tc>
          <w:tcPr>
            <w:tcW w:w="2100" w:type="dxa"/>
            <w:shd w:val="clear" w:color="auto" w:fill="auto"/>
            <w:vAlign w:val="center"/>
          </w:tcPr>
          <w:p w14:paraId="70D79E65">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危险化学品</w:t>
            </w:r>
          </w:p>
        </w:tc>
        <w:tc>
          <w:tcPr>
            <w:tcW w:w="3015" w:type="dxa"/>
            <w:shd w:val="clear" w:color="auto" w:fill="auto"/>
            <w:vAlign w:val="center"/>
          </w:tcPr>
          <w:p w14:paraId="0492AA64">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色谱纯</w:t>
            </w:r>
          </w:p>
        </w:tc>
        <w:tc>
          <w:tcPr>
            <w:tcW w:w="1242" w:type="dxa"/>
            <w:vMerge w:val="restart"/>
            <w:shd w:val="clear" w:color="auto" w:fill="auto"/>
            <w:vAlign w:val="center"/>
          </w:tcPr>
          <w:p w14:paraId="3CD4FEBD">
            <w:pPr>
              <w:jc w:val="center"/>
              <w:rPr>
                <w:rFonts w:ascii="仿宋" w:hAnsi="仿宋" w:eastAsia="仿宋" w:cs="仿宋"/>
                <w:sz w:val="28"/>
                <w:szCs w:val="28"/>
                <w:highlight w:val="none"/>
              </w:rPr>
            </w:pPr>
          </w:p>
        </w:tc>
      </w:tr>
      <w:tr w14:paraId="54A7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18" w:type="dxa"/>
            <w:shd w:val="clear" w:color="auto" w:fill="auto"/>
            <w:vAlign w:val="center"/>
          </w:tcPr>
          <w:p w14:paraId="2BE1B1D9">
            <w:pPr>
              <w:jc w:val="center"/>
              <w:rPr>
                <w:rFonts w:ascii="仿宋" w:hAnsi="仿宋" w:eastAsia="仿宋" w:cs="仿宋"/>
                <w:sz w:val="28"/>
                <w:szCs w:val="28"/>
                <w:highlight w:val="none"/>
              </w:rPr>
            </w:pPr>
            <w:r>
              <w:rPr>
                <w:rFonts w:hint="eastAsia" w:ascii="仿宋" w:hAnsi="仿宋" w:eastAsia="仿宋" w:cs="仿宋"/>
                <w:sz w:val="28"/>
                <w:szCs w:val="28"/>
                <w:highlight w:val="none"/>
              </w:rPr>
              <w:t>9</w:t>
            </w:r>
          </w:p>
        </w:tc>
        <w:tc>
          <w:tcPr>
            <w:tcW w:w="1166" w:type="dxa"/>
            <w:shd w:val="clear" w:color="auto" w:fill="auto"/>
            <w:vAlign w:val="center"/>
          </w:tcPr>
          <w:p w14:paraId="734D8975">
            <w:pPr>
              <w:widowControl/>
              <w:textAlignment w:val="center"/>
              <w:rPr>
                <w:rFonts w:ascii="仿宋" w:hAnsi="仿宋" w:eastAsia="仿宋" w:cs="仿宋"/>
                <w:sz w:val="28"/>
                <w:szCs w:val="28"/>
                <w:highlight w:val="none"/>
              </w:rPr>
            </w:pPr>
            <w:r>
              <w:rPr>
                <w:rFonts w:hint="eastAsia" w:ascii="仿宋" w:hAnsi="仿宋" w:eastAsia="仿宋" w:cs="仿宋"/>
                <w:sz w:val="24"/>
                <w:highlight w:val="none"/>
              </w:rPr>
              <w:t>Fisher</w:t>
            </w:r>
            <w:r>
              <w:rPr>
                <w:rFonts w:hint="eastAsia" w:ascii="仿宋" w:hAnsi="仿宋" w:eastAsia="仿宋" w:cs="仿宋"/>
                <w:szCs w:val="21"/>
                <w:highlight w:val="none"/>
              </w:rPr>
              <w:t>质谱甲醇</w:t>
            </w:r>
          </w:p>
        </w:tc>
        <w:tc>
          <w:tcPr>
            <w:tcW w:w="1410" w:type="dxa"/>
            <w:shd w:val="clear" w:color="auto" w:fill="auto"/>
            <w:vAlign w:val="center"/>
          </w:tcPr>
          <w:p w14:paraId="19694C30">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9</w:t>
            </w:r>
          </w:p>
        </w:tc>
        <w:tc>
          <w:tcPr>
            <w:tcW w:w="2100" w:type="dxa"/>
            <w:shd w:val="clear" w:color="auto" w:fill="auto"/>
            <w:vAlign w:val="center"/>
          </w:tcPr>
          <w:p w14:paraId="3D781035">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危险化学品</w:t>
            </w:r>
          </w:p>
        </w:tc>
        <w:tc>
          <w:tcPr>
            <w:tcW w:w="3015" w:type="dxa"/>
            <w:shd w:val="clear" w:color="auto" w:fill="auto"/>
            <w:vAlign w:val="center"/>
          </w:tcPr>
          <w:p w14:paraId="7125D761">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质谱纯</w:t>
            </w:r>
          </w:p>
        </w:tc>
        <w:tc>
          <w:tcPr>
            <w:tcW w:w="1242" w:type="dxa"/>
            <w:vMerge w:val="continue"/>
            <w:shd w:val="clear" w:color="auto" w:fill="auto"/>
            <w:vAlign w:val="center"/>
          </w:tcPr>
          <w:p w14:paraId="246EF7C9">
            <w:pPr>
              <w:jc w:val="center"/>
              <w:rPr>
                <w:rFonts w:ascii="仿宋" w:hAnsi="仿宋" w:eastAsia="仿宋" w:cs="仿宋"/>
                <w:sz w:val="28"/>
                <w:szCs w:val="28"/>
                <w:highlight w:val="none"/>
              </w:rPr>
            </w:pPr>
          </w:p>
        </w:tc>
      </w:tr>
      <w:tr w14:paraId="2111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18" w:type="dxa"/>
            <w:shd w:val="clear" w:color="auto" w:fill="auto"/>
            <w:vAlign w:val="center"/>
          </w:tcPr>
          <w:p w14:paraId="13AFD51E">
            <w:pPr>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1166" w:type="dxa"/>
            <w:shd w:val="clear" w:color="auto" w:fill="auto"/>
            <w:vAlign w:val="center"/>
          </w:tcPr>
          <w:p w14:paraId="577C012A">
            <w:pPr>
              <w:widowControl/>
              <w:textAlignment w:val="center"/>
              <w:rPr>
                <w:rFonts w:ascii="仿宋" w:hAnsi="仿宋" w:eastAsia="仿宋" w:cs="仿宋"/>
                <w:sz w:val="28"/>
                <w:szCs w:val="28"/>
                <w:highlight w:val="none"/>
              </w:rPr>
            </w:pPr>
            <w:r>
              <w:rPr>
                <w:rFonts w:hint="eastAsia" w:ascii="仿宋" w:hAnsi="仿宋" w:eastAsia="仿宋" w:cs="仿宋"/>
                <w:sz w:val="24"/>
                <w:highlight w:val="none"/>
              </w:rPr>
              <w:t>Fisher</w:t>
            </w:r>
            <w:r>
              <w:rPr>
                <w:rFonts w:hint="eastAsia" w:ascii="仿宋" w:hAnsi="仿宋" w:eastAsia="仿宋" w:cs="仿宋"/>
                <w:szCs w:val="21"/>
                <w:highlight w:val="none"/>
              </w:rPr>
              <w:t>质谱乙腈</w:t>
            </w:r>
          </w:p>
        </w:tc>
        <w:tc>
          <w:tcPr>
            <w:tcW w:w="1410" w:type="dxa"/>
            <w:shd w:val="clear" w:color="auto" w:fill="auto"/>
            <w:vAlign w:val="center"/>
          </w:tcPr>
          <w:p w14:paraId="10452A3D">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2</w:t>
            </w:r>
          </w:p>
        </w:tc>
        <w:tc>
          <w:tcPr>
            <w:tcW w:w="2100" w:type="dxa"/>
            <w:shd w:val="clear" w:color="auto" w:fill="auto"/>
            <w:vAlign w:val="center"/>
          </w:tcPr>
          <w:p w14:paraId="738BA47C">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危险化学品</w:t>
            </w:r>
          </w:p>
        </w:tc>
        <w:tc>
          <w:tcPr>
            <w:tcW w:w="3015" w:type="dxa"/>
            <w:shd w:val="clear" w:color="auto" w:fill="auto"/>
            <w:vAlign w:val="center"/>
          </w:tcPr>
          <w:p w14:paraId="6AE01FC0">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质谱纯</w:t>
            </w:r>
          </w:p>
        </w:tc>
        <w:tc>
          <w:tcPr>
            <w:tcW w:w="1242" w:type="dxa"/>
            <w:vMerge w:val="continue"/>
            <w:shd w:val="clear" w:color="auto" w:fill="auto"/>
            <w:vAlign w:val="center"/>
          </w:tcPr>
          <w:p w14:paraId="05955EDE">
            <w:pPr>
              <w:jc w:val="center"/>
              <w:rPr>
                <w:rFonts w:ascii="仿宋" w:hAnsi="仿宋" w:eastAsia="仿宋" w:cs="仿宋"/>
                <w:sz w:val="28"/>
                <w:szCs w:val="28"/>
                <w:highlight w:val="none"/>
              </w:rPr>
            </w:pPr>
          </w:p>
        </w:tc>
      </w:tr>
      <w:tr w14:paraId="376A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18" w:type="dxa"/>
            <w:shd w:val="clear" w:color="auto" w:fill="auto"/>
            <w:vAlign w:val="center"/>
          </w:tcPr>
          <w:p w14:paraId="0D6DCA20">
            <w:pPr>
              <w:jc w:val="center"/>
              <w:rPr>
                <w:rFonts w:ascii="仿宋" w:hAnsi="仿宋" w:eastAsia="仿宋" w:cs="仿宋"/>
                <w:sz w:val="28"/>
                <w:szCs w:val="28"/>
                <w:highlight w:val="none"/>
              </w:rPr>
            </w:pPr>
            <w:r>
              <w:rPr>
                <w:rFonts w:hint="eastAsia" w:ascii="仿宋" w:hAnsi="仿宋" w:eastAsia="仿宋" w:cs="仿宋"/>
                <w:sz w:val="28"/>
                <w:szCs w:val="28"/>
                <w:highlight w:val="none"/>
              </w:rPr>
              <w:t>11</w:t>
            </w:r>
          </w:p>
        </w:tc>
        <w:tc>
          <w:tcPr>
            <w:tcW w:w="1166" w:type="dxa"/>
            <w:shd w:val="clear" w:color="auto" w:fill="auto"/>
            <w:vAlign w:val="center"/>
          </w:tcPr>
          <w:p w14:paraId="6CD0DF70">
            <w:pPr>
              <w:widowControl/>
              <w:textAlignment w:val="center"/>
              <w:rPr>
                <w:rFonts w:ascii="仿宋" w:hAnsi="仿宋" w:eastAsia="仿宋" w:cs="仿宋"/>
                <w:sz w:val="15"/>
                <w:szCs w:val="15"/>
                <w:highlight w:val="none"/>
              </w:rPr>
            </w:pPr>
            <w:r>
              <w:rPr>
                <w:rFonts w:hint="eastAsia" w:ascii="仿宋" w:hAnsi="仿宋" w:eastAsia="仿宋" w:cs="仿宋"/>
                <w:sz w:val="15"/>
                <w:szCs w:val="15"/>
                <w:highlight w:val="none"/>
              </w:rPr>
              <w:t>0.1氢氧化钠</w:t>
            </w:r>
          </w:p>
        </w:tc>
        <w:tc>
          <w:tcPr>
            <w:tcW w:w="1410" w:type="dxa"/>
            <w:shd w:val="clear" w:color="auto" w:fill="auto"/>
            <w:vAlign w:val="center"/>
          </w:tcPr>
          <w:p w14:paraId="521A075B">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2</w:t>
            </w:r>
          </w:p>
        </w:tc>
        <w:tc>
          <w:tcPr>
            <w:tcW w:w="2100" w:type="dxa"/>
            <w:shd w:val="clear" w:color="auto" w:fill="auto"/>
            <w:vAlign w:val="center"/>
          </w:tcPr>
          <w:p w14:paraId="64A7A490">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危险化学品</w:t>
            </w:r>
          </w:p>
        </w:tc>
        <w:tc>
          <w:tcPr>
            <w:tcW w:w="3015" w:type="dxa"/>
            <w:shd w:val="clear" w:color="auto" w:fill="auto"/>
            <w:vAlign w:val="center"/>
          </w:tcPr>
          <w:p w14:paraId="50E00AD8">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标准滴定溶液</w:t>
            </w:r>
          </w:p>
        </w:tc>
        <w:tc>
          <w:tcPr>
            <w:tcW w:w="1242" w:type="dxa"/>
            <w:vMerge w:val="continue"/>
            <w:shd w:val="clear" w:color="auto" w:fill="auto"/>
            <w:vAlign w:val="center"/>
          </w:tcPr>
          <w:p w14:paraId="612BBE80">
            <w:pPr>
              <w:jc w:val="center"/>
              <w:rPr>
                <w:rFonts w:ascii="仿宋" w:hAnsi="仿宋" w:eastAsia="仿宋" w:cs="仿宋"/>
                <w:sz w:val="28"/>
                <w:szCs w:val="28"/>
                <w:highlight w:val="none"/>
              </w:rPr>
            </w:pPr>
          </w:p>
        </w:tc>
      </w:tr>
      <w:tr w14:paraId="7AE1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18" w:type="dxa"/>
            <w:shd w:val="clear" w:color="auto" w:fill="auto"/>
            <w:vAlign w:val="center"/>
          </w:tcPr>
          <w:p w14:paraId="70423018">
            <w:pPr>
              <w:jc w:val="center"/>
              <w:rPr>
                <w:rFonts w:ascii="仿宋" w:hAnsi="仿宋" w:eastAsia="仿宋" w:cs="仿宋"/>
                <w:sz w:val="28"/>
                <w:szCs w:val="28"/>
                <w:highlight w:val="none"/>
              </w:rPr>
            </w:pPr>
            <w:r>
              <w:rPr>
                <w:rFonts w:hint="eastAsia" w:ascii="仿宋" w:hAnsi="仿宋" w:eastAsia="仿宋" w:cs="仿宋"/>
                <w:sz w:val="28"/>
                <w:szCs w:val="28"/>
                <w:highlight w:val="none"/>
              </w:rPr>
              <w:t>12</w:t>
            </w:r>
          </w:p>
        </w:tc>
        <w:tc>
          <w:tcPr>
            <w:tcW w:w="1166" w:type="dxa"/>
            <w:shd w:val="clear" w:color="auto" w:fill="auto"/>
            <w:vAlign w:val="center"/>
          </w:tcPr>
          <w:p w14:paraId="5F1E21D4">
            <w:pPr>
              <w:widowControl/>
              <w:textAlignment w:val="center"/>
              <w:rPr>
                <w:rFonts w:ascii="仿宋" w:hAnsi="仿宋" w:eastAsia="仿宋" w:cs="仿宋"/>
                <w:sz w:val="28"/>
                <w:szCs w:val="28"/>
                <w:highlight w:val="none"/>
              </w:rPr>
            </w:pPr>
            <w:r>
              <w:rPr>
                <w:rFonts w:hint="eastAsia" w:ascii="仿宋" w:hAnsi="仿宋" w:eastAsia="仿宋" w:cs="仿宋"/>
                <w:szCs w:val="21"/>
                <w:highlight w:val="none"/>
              </w:rPr>
              <w:t>次氯酸钠</w:t>
            </w:r>
          </w:p>
        </w:tc>
        <w:tc>
          <w:tcPr>
            <w:tcW w:w="1410" w:type="dxa"/>
            <w:shd w:val="clear" w:color="auto" w:fill="auto"/>
            <w:vAlign w:val="center"/>
          </w:tcPr>
          <w:p w14:paraId="0CEB19A4">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200</w:t>
            </w:r>
          </w:p>
        </w:tc>
        <w:tc>
          <w:tcPr>
            <w:tcW w:w="2100" w:type="dxa"/>
            <w:shd w:val="clear" w:color="auto" w:fill="auto"/>
            <w:vAlign w:val="center"/>
          </w:tcPr>
          <w:p w14:paraId="4C67B429">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危险化学品</w:t>
            </w:r>
          </w:p>
        </w:tc>
        <w:tc>
          <w:tcPr>
            <w:tcW w:w="3015" w:type="dxa"/>
            <w:shd w:val="clear" w:color="auto" w:fill="auto"/>
            <w:vAlign w:val="center"/>
          </w:tcPr>
          <w:p w14:paraId="4FF14A6F">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分析纯</w:t>
            </w:r>
          </w:p>
        </w:tc>
        <w:tc>
          <w:tcPr>
            <w:tcW w:w="1242" w:type="dxa"/>
            <w:vMerge w:val="continue"/>
            <w:shd w:val="clear" w:color="auto" w:fill="auto"/>
            <w:vAlign w:val="center"/>
          </w:tcPr>
          <w:p w14:paraId="66EA0A07">
            <w:pPr>
              <w:jc w:val="center"/>
              <w:rPr>
                <w:rFonts w:ascii="仿宋" w:hAnsi="仿宋" w:eastAsia="仿宋" w:cs="仿宋"/>
                <w:sz w:val="28"/>
                <w:szCs w:val="28"/>
                <w:highlight w:val="none"/>
              </w:rPr>
            </w:pPr>
          </w:p>
        </w:tc>
      </w:tr>
      <w:tr w14:paraId="0966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18" w:type="dxa"/>
            <w:shd w:val="clear" w:color="auto" w:fill="auto"/>
            <w:vAlign w:val="center"/>
          </w:tcPr>
          <w:p w14:paraId="520F1A64">
            <w:pPr>
              <w:jc w:val="center"/>
              <w:rPr>
                <w:rFonts w:ascii="仿宋" w:hAnsi="仿宋" w:eastAsia="仿宋" w:cs="仿宋"/>
                <w:sz w:val="28"/>
                <w:szCs w:val="28"/>
                <w:highlight w:val="none"/>
              </w:rPr>
            </w:pPr>
            <w:r>
              <w:rPr>
                <w:rFonts w:hint="eastAsia" w:ascii="仿宋" w:hAnsi="仿宋" w:eastAsia="仿宋" w:cs="仿宋"/>
                <w:sz w:val="28"/>
                <w:szCs w:val="28"/>
                <w:highlight w:val="none"/>
              </w:rPr>
              <w:t>13</w:t>
            </w:r>
          </w:p>
        </w:tc>
        <w:tc>
          <w:tcPr>
            <w:tcW w:w="1166" w:type="dxa"/>
            <w:shd w:val="clear" w:color="auto" w:fill="auto"/>
            <w:vAlign w:val="center"/>
          </w:tcPr>
          <w:p w14:paraId="3CA8CAF1">
            <w:pPr>
              <w:widowControl/>
              <w:textAlignment w:val="center"/>
              <w:rPr>
                <w:rFonts w:ascii="仿宋" w:hAnsi="仿宋" w:eastAsia="仿宋" w:cs="仿宋"/>
                <w:sz w:val="28"/>
                <w:szCs w:val="28"/>
                <w:highlight w:val="none"/>
              </w:rPr>
            </w:pPr>
            <w:r>
              <w:rPr>
                <w:rFonts w:hint="eastAsia" w:ascii="仿宋" w:hAnsi="仿宋" w:eastAsia="仿宋" w:cs="仿宋"/>
                <w:sz w:val="28"/>
                <w:szCs w:val="28"/>
                <w:highlight w:val="none"/>
              </w:rPr>
              <w:t>异丙醇</w:t>
            </w:r>
          </w:p>
        </w:tc>
        <w:tc>
          <w:tcPr>
            <w:tcW w:w="1410" w:type="dxa"/>
            <w:shd w:val="clear" w:color="auto" w:fill="auto"/>
            <w:vAlign w:val="center"/>
          </w:tcPr>
          <w:p w14:paraId="161F3911">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25</w:t>
            </w:r>
          </w:p>
        </w:tc>
        <w:tc>
          <w:tcPr>
            <w:tcW w:w="2100" w:type="dxa"/>
            <w:shd w:val="clear" w:color="auto" w:fill="auto"/>
            <w:vAlign w:val="center"/>
          </w:tcPr>
          <w:p w14:paraId="0A29C988">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危险化学品</w:t>
            </w:r>
          </w:p>
        </w:tc>
        <w:tc>
          <w:tcPr>
            <w:tcW w:w="3015" w:type="dxa"/>
            <w:shd w:val="clear" w:color="auto" w:fill="auto"/>
            <w:vAlign w:val="center"/>
          </w:tcPr>
          <w:p w14:paraId="33ACE076">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分析纯</w:t>
            </w:r>
          </w:p>
        </w:tc>
        <w:tc>
          <w:tcPr>
            <w:tcW w:w="1242" w:type="dxa"/>
            <w:vMerge w:val="continue"/>
            <w:shd w:val="clear" w:color="auto" w:fill="auto"/>
            <w:vAlign w:val="center"/>
          </w:tcPr>
          <w:p w14:paraId="31414E94">
            <w:pPr>
              <w:jc w:val="center"/>
              <w:rPr>
                <w:rFonts w:ascii="仿宋" w:hAnsi="仿宋" w:eastAsia="仿宋" w:cs="仿宋"/>
                <w:sz w:val="28"/>
                <w:szCs w:val="28"/>
                <w:highlight w:val="none"/>
              </w:rPr>
            </w:pPr>
          </w:p>
        </w:tc>
      </w:tr>
      <w:tr w14:paraId="4A6A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18" w:type="dxa"/>
            <w:shd w:val="clear" w:color="auto" w:fill="auto"/>
            <w:vAlign w:val="center"/>
          </w:tcPr>
          <w:p w14:paraId="23F7673B">
            <w:pPr>
              <w:jc w:val="center"/>
              <w:rPr>
                <w:rFonts w:ascii="仿宋" w:hAnsi="仿宋" w:eastAsia="仿宋" w:cs="仿宋"/>
                <w:sz w:val="28"/>
                <w:szCs w:val="28"/>
                <w:highlight w:val="none"/>
              </w:rPr>
            </w:pPr>
            <w:r>
              <w:rPr>
                <w:rFonts w:hint="eastAsia" w:ascii="仿宋" w:hAnsi="仿宋" w:eastAsia="仿宋" w:cs="仿宋"/>
                <w:sz w:val="28"/>
                <w:szCs w:val="28"/>
                <w:highlight w:val="none"/>
              </w:rPr>
              <w:t>14</w:t>
            </w:r>
          </w:p>
        </w:tc>
        <w:tc>
          <w:tcPr>
            <w:tcW w:w="1166" w:type="dxa"/>
            <w:shd w:val="clear" w:color="auto" w:fill="auto"/>
            <w:vAlign w:val="center"/>
          </w:tcPr>
          <w:p w14:paraId="74A5D32F">
            <w:pPr>
              <w:widowControl/>
              <w:textAlignment w:val="center"/>
              <w:rPr>
                <w:rFonts w:ascii="仿宋" w:hAnsi="仿宋" w:eastAsia="仿宋" w:cs="仿宋"/>
                <w:sz w:val="28"/>
                <w:szCs w:val="28"/>
                <w:highlight w:val="none"/>
              </w:rPr>
            </w:pPr>
            <w:r>
              <w:rPr>
                <w:rFonts w:hint="eastAsia" w:ascii="仿宋" w:hAnsi="仿宋" w:eastAsia="仿宋" w:cs="仿宋"/>
                <w:szCs w:val="21"/>
                <w:highlight w:val="none"/>
              </w:rPr>
              <w:t>乙酸乙酯</w:t>
            </w:r>
          </w:p>
        </w:tc>
        <w:tc>
          <w:tcPr>
            <w:tcW w:w="1410" w:type="dxa"/>
            <w:shd w:val="clear" w:color="auto" w:fill="auto"/>
            <w:vAlign w:val="center"/>
          </w:tcPr>
          <w:p w14:paraId="7AE7E971">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1</w:t>
            </w:r>
          </w:p>
        </w:tc>
        <w:tc>
          <w:tcPr>
            <w:tcW w:w="2100" w:type="dxa"/>
            <w:shd w:val="clear" w:color="auto" w:fill="auto"/>
            <w:vAlign w:val="center"/>
          </w:tcPr>
          <w:p w14:paraId="435E8478">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危险化学品</w:t>
            </w:r>
          </w:p>
        </w:tc>
        <w:tc>
          <w:tcPr>
            <w:tcW w:w="3015" w:type="dxa"/>
            <w:shd w:val="clear" w:color="auto" w:fill="auto"/>
            <w:vAlign w:val="center"/>
          </w:tcPr>
          <w:p w14:paraId="1D6E6F9F">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分析纯</w:t>
            </w:r>
          </w:p>
        </w:tc>
        <w:tc>
          <w:tcPr>
            <w:tcW w:w="1242" w:type="dxa"/>
            <w:vMerge w:val="continue"/>
            <w:shd w:val="clear" w:color="auto" w:fill="auto"/>
            <w:vAlign w:val="center"/>
          </w:tcPr>
          <w:p w14:paraId="0FEB23D2">
            <w:pPr>
              <w:jc w:val="center"/>
              <w:rPr>
                <w:rFonts w:ascii="仿宋" w:hAnsi="仿宋" w:eastAsia="仿宋" w:cs="仿宋"/>
                <w:sz w:val="28"/>
                <w:szCs w:val="28"/>
                <w:highlight w:val="none"/>
              </w:rPr>
            </w:pPr>
          </w:p>
        </w:tc>
      </w:tr>
      <w:tr w14:paraId="6662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18" w:type="dxa"/>
            <w:shd w:val="clear" w:color="auto" w:fill="auto"/>
            <w:vAlign w:val="center"/>
          </w:tcPr>
          <w:p w14:paraId="2C28BCD6">
            <w:pPr>
              <w:jc w:val="center"/>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1166" w:type="dxa"/>
            <w:shd w:val="clear" w:color="auto" w:fill="auto"/>
            <w:vAlign w:val="center"/>
          </w:tcPr>
          <w:p w14:paraId="5A70E65C">
            <w:pPr>
              <w:widowControl/>
              <w:textAlignment w:val="center"/>
              <w:rPr>
                <w:rFonts w:ascii="仿宋" w:hAnsi="仿宋" w:eastAsia="仿宋" w:cs="仿宋"/>
                <w:sz w:val="28"/>
                <w:szCs w:val="28"/>
                <w:highlight w:val="none"/>
              </w:rPr>
            </w:pPr>
            <w:r>
              <w:rPr>
                <w:rFonts w:hint="eastAsia" w:ascii="仿宋" w:hAnsi="仿宋" w:eastAsia="仿宋" w:cs="仿宋"/>
                <w:sz w:val="28"/>
                <w:szCs w:val="28"/>
                <w:highlight w:val="none"/>
              </w:rPr>
              <w:t>盐酸</w:t>
            </w:r>
          </w:p>
        </w:tc>
        <w:tc>
          <w:tcPr>
            <w:tcW w:w="1410" w:type="dxa"/>
            <w:shd w:val="clear" w:color="auto" w:fill="auto"/>
            <w:vAlign w:val="center"/>
          </w:tcPr>
          <w:p w14:paraId="4AF67FA7">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5.90kg</w:t>
            </w:r>
          </w:p>
        </w:tc>
        <w:tc>
          <w:tcPr>
            <w:tcW w:w="2100" w:type="dxa"/>
            <w:shd w:val="clear" w:color="auto" w:fill="auto"/>
            <w:vAlign w:val="center"/>
          </w:tcPr>
          <w:p w14:paraId="356679D7">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易制毒化学品</w:t>
            </w:r>
          </w:p>
        </w:tc>
        <w:tc>
          <w:tcPr>
            <w:tcW w:w="3015" w:type="dxa"/>
            <w:shd w:val="clear" w:color="auto" w:fill="auto"/>
            <w:vAlign w:val="center"/>
          </w:tcPr>
          <w:p w14:paraId="4D9E6CBB">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分析纯</w:t>
            </w:r>
          </w:p>
        </w:tc>
        <w:tc>
          <w:tcPr>
            <w:tcW w:w="1242" w:type="dxa"/>
            <w:vMerge w:val="continue"/>
            <w:shd w:val="clear" w:color="auto" w:fill="auto"/>
            <w:vAlign w:val="center"/>
          </w:tcPr>
          <w:p w14:paraId="6979BD58">
            <w:pPr>
              <w:jc w:val="center"/>
              <w:rPr>
                <w:rFonts w:ascii="仿宋" w:hAnsi="仿宋" w:eastAsia="仿宋" w:cs="仿宋"/>
                <w:sz w:val="28"/>
                <w:szCs w:val="28"/>
                <w:highlight w:val="none"/>
              </w:rPr>
            </w:pPr>
          </w:p>
        </w:tc>
      </w:tr>
      <w:tr w14:paraId="37B7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18" w:type="dxa"/>
            <w:shd w:val="clear" w:color="auto" w:fill="auto"/>
            <w:vAlign w:val="center"/>
          </w:tcPr>
          <w:p w14:paraId="6BEF17C9">
            <w:pPr>
              <w:jc w:val="center"/>
              <w:rPr>
                <w:rFonts w:ascii="仿宋" w:hAnsi="仿宋" w:eastAsia="仿宋" w:cs="仿宋"/>
                <w:sz w:val="28"/>
                <w:szCs w:val="28"/>
                <w:highlight w:val="none"/>
              </w:rPr>
            </w:pPr>
            <w:r>
              <w:rPr>
                <w:rFonts w:hint="eastAsia" w:ascii="仿宋" w:hAnsi="仿宋" w:eastAsia="仿宋" w:cs="仿宋"/>
                <w:sz w:val="28"/>
                <w:szCs w:val="28"/>
                <w:highlight w:val="none"/>
              </w:rPr>
              <w:t>16</w:t>
            </w:r>
          </w:p>
        </w:tc>
        <w:tc>
          <w:tcPr>
            <w:tcW w:w="1166" w:type="dxa"/>
            <w:shd w:val="clear" w:color="auto" w:fill="auto"/>
            <w:vAlign w:val="center"/>
          </w:tcPr>
          <w:p w14:paraId="236B7DB7">
            <w:pPr>
              <w:widowControl/>
              <w:textAlignment w:val="center"/>
              <w:rPr>
                <w:rFonts w:ascii="仿宋" w:hAnsi="仿宋" w:eastAsia="仿宋" w:cs="仿宋"/>
                <w:sz w:val="28"/>
                <w:szCs w:val="28"/>
                <w:highlight w:val="none"/>
              </w:rPr>
            </w:pPr>
            <w:r>
              <w:rPr>
                <w:rFonts w:hint="eastAsia" w:ascii="仿宋" w:hAnsi="仿宋" w:eastAsia="仿宋" w:cs="仿宋"/>
                <w:sz w:val="28"/>
                <w:szCs w:val="28"/>
                <w:highlight w:val="none"/>
              </w:rPr>
              <w:t>硫酸</w:t>
            </w:r>
          </w:p>
        </w:tc>
        <w:tc>
          <w:tcPr>
            <w:tcW w:w="1410" w:type="dxa"/>
            <w:shd w:val="clear" w:color="auto" w:fill="auto"/>
            <w:vAlign w:val="center"/>
          </w:tcPr>
          <w:p w14:paraId="09C8809F">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4.60</w:t>
            </w:r>
            <w:r>
              <w:rPr>
                <w:rFonts w:ascii="仿宋" w:hAnsi="仿宋" w:eastAsia="仿宋" w:cs="仿宋"/>
                <w:color w:val="000000"/>
                <w:kern w:val="0"/>
                <w:sz w:val="28"/>
                <w:szCs w:val="28"/>
                <w:highlight w:val="none"/>
                <w:lang w:bidi="ar"/>
              </w:rPr>
              <w:t>kg</w:t>
            </w:r>
          </w:p>
        </w:tc>
        <w:tc>
          <w:tcPr>
            <w:tcW w:w="2100" w:type="dxa"/>
            <w:shd w:val="clear" w:color="auto" w:fill="auto"/>
            <w:vAlign w:val="center"/>
          </w:tcPr>
          <w:p w14:paraId="78CD6163">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易制毒化学品</w:t>
            </w:r>
          </w:p>
        </w:tc>
        <w:tc>
          <w:tcPr>
            <w:tcW w:w="3015" w:type="dxa"/>
            <w:shd w:val="clear" w:color="auto" w:fill="auto"/>
            <w:vAlign w:val="center"/>
          </w:tcPr>
          <w:p w14:paraId="34173D78">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分析纯</w:t>
            </w:r>
          </w:p>
        </w:tc>
        <w:tc>
          <w:tcPr>
            <w:tcW w:w="1242" w:type="dxa"/>
            <w:vMerge w:val="continue"/>
            <w:shd w:val="clear" w:color="auto" w:fill="auto"/>
            <w:vAlign w:val="center"/>
          </w:tcPr>
          <w:p w14:paraId="6086F67F">
            <w:pPr>
              <w:jc w:val="center"/>
              <w:rPr>
                <w:rFonts w:ascii="仿宋" w:hAnsi="仿宋" w:eastAsia="仿宋" w:cs="仿宋"/>
                <w:sz w:val="28"/>
                <w:szCs w:val="28"/>
                <w:highlight w:val="none"/>
              </w:rPr>
            </w:pPr>
          </w:p>
        </w:tc>
      </w:tr>
      <w:tr w14:paraId="74F6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18" w:type="dxa"/>
            <w:shd w:val="clear" w:color="auto" w:fill="auto"/>
            <w:vAlign w:val="center"/>
          </w:tcPr>
          <w:p w14:paraId="6B29033D">
            <w:pPr>
              <w:jc w:val="center"/>
              <w:rPr>
                <w:rFonts w:ascii="仿宋" w:hAnsi="仿宋" w:eastAsia="仿宋" w:cs="仿宋"/>
                <w:sz w:val="28"/>
                <w:szCs w:val="28"/>
                <w:highlight w:val="none"/>
              </w:rPr>
            </w:pPr>
            <w:r>
              <w:rPr>
                <w:rFonts w:hint="eastAsia" w:ascii="仿宋" w:hAnsi="仿宋" w:eastAsia="仿宋" w:cs="仿宋"/>
                <w:sz w:val="28"/>
                <w:szCs w:val="28"/>
                <w:highlight w:val="none"/>
              </w:rPr>
              <w:t>17</w:t>
            </w:r>
          </w:p>
        </w:tc>
        <w:tc>
          <w:tcPr>
            <w:tcW w:w="1166" w:type="dxa"/>
            <w:shd w:val="clear" w:color="auto" w:fill="auto"/>
            <w:vAlign w:val="center"/>
          </w:tcPr>
          <w:p w14:paraId="4D1399F9">
            <w:pPr>
              <w:widowControl/>
              <w:textAlignment w:val="center"/>
              <w:rPr>
                <w:rFonts w:ascii="仿宋" w:hAnsi="仿宋" w:eastAsia="仿宋" w:cs="仿宋"/>
                <w:sz w:val="28"/>
                <w:szCs w:val="28"/>
                <w:highlight w:val="none"/>
              </w:rPr>
            </w:pPr>
            <w:r>
              <w:rPr>
                <w:rFonts w:ascii="仿宋" w:hAnsi="仿宋" w:eastAsia="仿宋" w:cs="仿宋"/>
                <w:szCs w:val="21"/>
                <w:highlight w:val="none"/>
              </w:rPr>
              <w:t>三氯甲烷</w:t>
            </w:r>
          </w:p>
        </w:tc>
        <w:tc>
          <w:tcPr>
            <w:tcW w:w="1410" w:type="dxa"/>
            <w:shd w:val="clear" w:color="auto" w:fill="auto"/>
            <w:vAlign w:val="center"/>
          </w:tcPr>
          <w:p w14:paraId="5F4CC784">
            <w:pPr>
              <w:widowControl/>
              <w:jc w:val="center"/>
              <w:textAlignment w:val="center"/>
              <w:rPr>
                <w:rFonts w:ascii="仿宋" w:hAnsi="仿宋" w:eastAsia="仿宋" w:cs="仿宋"/>
                <w:color w:val="000000"/>
                <w:kern w:val="0"/>
                <w:sz w:val="28"/>
                <w:szCs w:val="28"/>
                <w:highlight w:val="none"/>
                <w:lang w:bidi="ar"/>
              </w:rPr>
            </w:pPr>
            <w:r>
              <w:rPr>
                <w:rFonts w:ascii="仿宋" w:hAnsi="仿宋" w:eastAsia="仿宋" w:cs="仿宋"/>
                <w:color w:val="000000"/>
                <w:kern w:val="0"/>
                <w:sz w:val="28"/>
                <w:szCs w:val="28"/>
                <w:highlight w:val="none"/>
                <w:lang w:bidi="ar"/>
              </w:rPr>
              <w:t>20.25kg</w:t>
            </w:r>
          </w:p>
        </w:tc>
        <w:tc>
          <w:tcPr>
            <w:tcW w:w="2100" w:type="dxa"/>
            <w:shd w:val="clear" w:color="auto" w:fill="auto"/>
            <w:vAlign w:val="center"/>
          </w:tcPr>
          <w:p w14:paraId="04764429">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易制毒化学品</w:t>
            </w:r>
          </w:p>
        </w:tc>
        <w:tc>
          <w:tcPr>
            <w:tcW w:w="3015" w:type="dxa"/>
            <w:shd w:val="clear" w:color="auto" w:fill="auto"/>
            <w:vAlign w:val="center"/>
          </w:tcPr>
          <w:p w14:paraId="1B63C3EE">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分析纯</w:t>
            </w:r>
          </w:p>
        </w:tc>
        <w:tc>
          <w:tcPr>
            <w:tcW w:w="1242" w:type="dxa"/>
            <w:vMerge w:val="continue"/>
            <w:shd w:val="clear" w:color="auto" w:fill="auto"/>
            <w:vAlign w:val="center"/>
          </w:tcPr>
          <w:p w14:paraId="618E46F1">
            <w:pPr>
              <w:jc w:val="center"/>
              <w:rPr>
                <w:rFonts w:ascii="仿宋" w:hAnsi="仿宋" w:eastAsia="仿宋" w:cs="仿宋"/>
                <w:sz w:val="28"/>
                <w:szCs w:val="28"/>
                <w:highlight w:val="none"/>
              </w:rPr>
            </w:pPr>
          </w:p>
        </w:tc>
      </w:tr>
      <w:tr w14:paraId="2F0F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18" w:type="dxa"/>
            <w:shd w:val="clear" w:color="auto" w:fill="auto"/>
            <w:vAlign w:val="center"/>
          </w:tcPr>
          <w:p w14:paraId="4162F5ED">
            <w:pPr>
              <w:jc w:val="center"/>
              <w:rPr>
                <w:rFonts w:ascii="仿宋" w:hAnsi="仿宋" w:eastAsia="仿宋" w:cs="仿宋"/>
                <w:sz w:val="28"/>
                <w:szCs w:val="28"/>
                <w:highlight w:val="none"/>
              </w:rPr>
            </w:pPr>
            <w:r>
              <w:rPr>
                <w:rFonts w:hint="eastAsia" w:ascii="仿宋" w:hAnsi="仿宋" w:eastAsia="仿宋" w:cs="仿宋"/>
                <w:sz w:val="28"/>
                <w:szCs w:val="28"/>
                <w:highlight w:val="none"/>
              </w:rPr>
              <w:t>18</w:t>
            </w:r>
          </w:p>
        </w:tc>
        <w:tc>
          <w:tcPr>
            <w:tcW w:w="1166" w:type="dxa"/>
            <w:shd w:val="clear" w:color="auto" w:fill="auto"/>
            <w:vAlign w:val="center"/>
          </w:tcPr>
          <w:p w14:paraId="109FF664">
            <w:pPr>
              <w:widowControl/>
              <w:textAlignment w:val="center"/>
              <w:rPr>
                <w:rFonts w:ascii="仿宋" w:hAnsi="仿宋" w:eastAsia="仿宋" w:cs="仿宋"/>
                <w:sz w:val="28"/>
                <w:szCs w:val="28"/>
                <w:highlight w:val="none"/>
              </w:rPr>
            </w:pPr>
            <w:r>
              <w:rPr>
                <w:rFonts w:ascii="仿宋" w:hAnsi="仿宋" w:eastAsia="仿宋" w:cs="仿宋"/>
                <w:sz w:val="28"/>
                <w:szCs w:val="28"/>
                <w:highlight w:val="none"/>
              </w:rPr>
              <w:t>甲苯</w:t>
            </w:r>
          </w:p>
        </w:tc>
        <w:tc>
          <w:tcPr>
            <w:tcW w:w="1410" w:type="dxa"/>
            <w:shd w:val="clear" w:color="auto" w:fill="auto"/>
            <w:vAlign w:val="center"/>
          </w:tcPr>
          <w:p w14:paraId="2CB3509E">
            <w:pPr>
              <w:widowControl/>
              <w:jc w:val="center"/>
              <w:textAlignment w:val="center"/>
              <w:rPr>
                <w:rFonts w:ascii="仿宋" w:hAnsi="仿宋" w:eastAsia="仿宋" w:cs="仿宋"/>
                <w:color w:val="000000"/>
                <w:kern w:val="0"/>
                <w:sz w:val="28"/>
                <w:szCs w:val="28"/>
                <w:highlight w:val="none"/>
                <w:lang w:bidi="ar"/>
              </w:rPr>
            </w:pPr>
            <w:r>
              <w:rPr>
                <w:rFonts w:ascii="仿宋" w:hAnsi="仿宋" w:eastAsia="仿宋" w:cs="仿宋"/>
                <w:color w:val="000000"/>
                <w:kern w:val="0"/>
                <w:sz w:val="28"/>
                <w:szCs w:val="28"/>
                <w:highlight w:val="none"/>
                <w:lang w:bidi="ar"/>
              </w:rPr>
              <w:t>1.76kg</w:t>
            </w:r>
          </w:p>
        </w:tc>
        <w:tc>
          <w:tcPr>
            <w:tcW w:w="2100" w:type="dxa"/>
            <w:shd w:val="clear" w:color="auto" w:fill="auto"/>
            <w:vAlign w:val="center"/>
          </w:tcPr>
          <w:p w14:paraId="758B06BE">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易制毒化学品</w:t>
            </w:r>
          </w:p>
        </w:tc>
        <w:tc>
          <w:tcPr>
            <w:tcW w:w="3015" w:type="dxa"/>
            <w:shd w:val="clear" w:color="auto" w:fill="auto"/>
            <w:vAlign w:val="center"/>
          </w:tcPr>
          <w:p w14:paraId="3249FC21">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分析纯</w:t>
            </w:r>
          </w:p>
        </w:tc>
        <w:tc>
          <w:tcPr>
            <w:tcW w:w="1242" w:type="dxa"/>
            <w:vMerge w:val="continue"/>
            <w:shd w:val="clear" w:color="auto" w:fill="auto"/>
            <w:vAlign w:val="center"/>
          </w:tcPr>
          <w:p w14:paraId="792C8BB0">
            <w:pPr>
              <w:jc w:val="center"/>
              <w:rPr>
                <w:rFonts w:ascii="仿宋" w:hAnsi="仿宋" w:eastAsia="仿宋" w:cs="仿宋"/>
                <w:sz w:val="28"/>
                <w:szCs w:val="28"/>
                <w:highlight w:val="none"/>
              </w:rPr>
            </w:pPr>
          </w:p>
        </w:tc>
      </w:tr>
      <w:tr w14:paraId="0A00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18" w:type="dxa"/>
            <w:shd w:val="clear" w:color="auto" w:fill="auto"/>
            <w:vAlign w:val="center"/>
          </w:tcPr>
          <w:p w14:paraId="5603236D">
            <w:pPr>
              <w:jc w:val="center"/>
              <w:rPr>
                <w:rFonts w:ascii="仿宋" w:hAnsi="仿宋" w:eastAsia="仿宋" w:cs="仿宋"/>
                <w:sz w:val="28"/>
                <w:szCs w:val="28"/>
                <w:highlight w:val="none"/>
              </w:rPr>
            </w:pPr>
            <w:r>
              <w:rPr>
                <w:rFonts w:hint="eastAsia" w:ascii="仿宋" w:hAnsi="仿宋" w:eastAsia="仿宋" w:cs="仿宋"/>
                <w:sz w:val="28"/>
                <w:szCs w:val="28"/>
                <w:highlight w:val="none"/>
              </w:rPr>
              <w:t>19</w:t>
            </w:r>
          </w:p>
        </w:tc>
        <w:tc>
          <w:tcPr>
            <w:tcW w:w="1166" w:type="dxa"/>
            <w:shd w:val="clear" w:color="auto" w:fill="auto"/>
            <w:vAlign w:val="center"/>
          </w:tcPr>
          <w:p w14:paraId="6EE680BC">
            <w:pPr>
              <w:widowControl/>
              <w:textAlignment w:val="center"/>
              <w:rPr>
                <w:rFonts w:ascii="仿宋" w:hAnsi="仿宋" w:eastAsia="仿宋" w:cs="仿宋"/>
                <w:sz w:val="28"/>
                <w:szCs w:val="28"/>
                <w:highlight w:val="none"/>
              </w:rPr>
            </w:pPr>
            <w:r>
              <w:rPr>
                <w:rFonts w:hint="eastAsia" w:ascii="仿宋" w:hAnsi="仿宋" w:eastAsia="仿宋" w:cs="仿宋"/>
                <w:sz w:val="28"/>
                <w:szCs w:val="28"/>
                <w:highlight w:val="none"/>
              </w:rPr>
              <w:t>乙醚</w:t>
            </w:r>
          </w:p>
        </w:tc>
        <w:tc>
          <w:tcPr>
            <w:tcW w:w="1410" w:type="dxa"/>
            <w:shd w:val="clear" w:color="auto" w:fill="auto"/>
            <w:vAlign w:val="center"/>
          </w:tcPr>
          <w:p w14:paraId="3C1AB145">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6.48kg</w:t>
            </w:r>
          </w:p>
        </w:tc>
        <w:tc>
          <w:tcPr>
            <w:tcW w:w="2100" w:type="dxa"/>
            <w:shd w:val="clear" w:color="auto" w:fill="auto"/>
            <w:vAlign w:val="center"/>
          </w:tcPr>
          <w:p w14:paraId="0DC04B46">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易制毒化学品</w:t>
            </w:r>
          </w:p>
        </w:tc>
        <w:tc>
          <w:tcPr>
            <w:tcW w:w="3015" w:type="dxa"/>
            <w:shd w:val="clear" w:color="auto" w:fill="auto"/>
            <w:vAlign w:val="center"/>
          </w:tcPr>
          <w:p w14:paraId="7FE02A01">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分析纯</w:t>
            </w:r>
          </w:p>
        </w:tc>
        <w:tc>
          <w:tcPr>
            <w:tcW w:w="1242" w:type="dxa"/>
            <w:vMerge w:val="continue"/>
            <w:shd w:val="clear" w:color="auto" w:fill="auto"/>
            <w:vAlign w:val="center"/>
          </w:tcPr>
          <w:p w14:paraId="1A8BB5A2">
            <w:pPr>
              <w:jc w:val="center"/>
              <w:rPr>
                <w:rFonts w:ascii="仿宋" w:hAnsi="仿宋" w:eastAsia="仿宋" w:cs="仿宋"/>
                <w:sz w:val="28"/>
                <w:szCs w:val="28"/>
                <w:highlight w:val="none"/>
              </w:rPr>
            </w:pPr>
          </w:p>
        </w:tc>
      </w:tr>
      <w:tr w14:paraId="383F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18" w:type="dxa"/>
            <w:shd w:val="clear" w:color="auto" w:fill="auto"/>
            <w:vAlign w:val="center"/>
          </w:tcPr>
          <w:p w14:paraId="0C63FD29">
            <w:pPr>
              <w:jc w:val="center"/>
              <w:rPr>
                <w:rFonts w:ascii="仿宋" w:hAnsi="仿宋" w:eastAsia="仿宋" w:cs="仿宋"/>
                <w:sz w:val="28"/>
                <w:szCs w:val="28"/>
                <w:highlight w:val="none"/>
              </w:rPr>
            </w:pPr>
            <w:r>
              <w:rPr>
                <w:rFonts w:hint="eastAsia" w:ascii="仿宋" w:hAnsi="仿宋" w:eastAsia="仿宋" w:cs="仿宋"/>
                <w:sz w:val="28"/>
                <w:szCs w:val="28"/>
                <w:highlight w:val="none"/>
              </w:rPr>
              <w:t>20</w:t>
            </w:r>
          </w:p>
        </w:tc>
        <w:tc>
          <w:tcPr>
            <w:tcW w:w="1166" w:type="dxa"/>
            <w:shd w:val="clear" w:color="auto" w:fill="auto"/>
            <w:vAlign w:val="center"/>
          </w:tcPr>
          <w:p w14:paraId="6440373B">
            <w:pPr>
              <w:widowControl/>
              <w:textAlignment w:val="center"/>
              <w:rPr>
                <w:rFonts w:ascii="仿宋" w:hAnsi="仿宋" w:eastAsia="仿宋" w:cs="仿宋"/>
                <w:sz w:val="28"/>
                <w:szCs w:val="28"/>
                <w:highlight w:val="none"/>
              </w:rPr>
            </w:pPr>
            <w:r>
              <w:rPr>
                <w:rFonts w:hint="eastAsia" w:ascii="仿宋" w:hAnsi="仿宋" w:eastAsia="仿宋" w:cs="仿宋"/>
                <w:sz w:val="28"/>
                <w:szCs w:val="28"/>
                <w:highlight w:val="none"/>
              </w:rPr>
              <w:t>丙酮</w:t>
            </w:r>
          </w:p>
        </w:tc>
        <w:tc>
          <w:tcPr>
            <w:tcW w:w="1410" w:type="dxa"/>
            <w:shd w:val="clear" w:color="auto" w:fill="auto"/>
            <w:vAlign w:val="center"/>
          </w:tcPr>
          <w:p w14:paraId="2A0B6DE0">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1.20kg</w:t>
            </w:r>
          </w:p>
        </w:tc>
        <w:tc>
          <w:tcPr>
            <w:tcW w:w="2100" w:type="dxa"/>
            <w:shd w:val="clear" w:color="auto" w:fill="auto"/>
            <w:vAlign w:val="center"/>
          </w:tcPr>
          <w:p w14:paraId="0E42FBC3">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易制毒化学品</w:t>
            </w:r>
          </w:p>
        </w:tc>
        <w:tc>
          <w:tcPr>
            <w:tcW w:w="3015" w:type="dxa"/>
            <w:shd w:val="clear" w:color="auto" w:fill="auto"/>
            <w:vAlign w:val="center"/>
          </w:tcPr>
          <w:p w14:paraId="115491C6">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分析纯</w:t>
            </w:r>
          </w:p>
        </w:tc>
        <w:tc>
          <w:tcPr>
            <w:tcW w:w="1242" w:type="dxa"/>
            <w:vMerge w:val="continue"/>
            <w:shd w:val="clear" w:color="auto" w:fill="auto"/>
            <w:vAlign w:val="center"/>
          </w:tcPr>
          <w:p w14:paraId="7D5C188C">
            <w:pPr>
              <w:jc w:val="center"/>
              <w:rPr>
                <w:rFonts w:ascii="仿宋" w:hAnsi="仿宋" w:eastAsia="仿宋" w:cs="仿宋"/>
                <w:sz w:val="28"/>
                <w:szCs w:val="28"/>
                <w:highlight w:val="none"/>
              </w:rPr>
            </w:pPr>
          </w:p>
        </w:tc>
      </w:tr>
      <w:tr w14:paraId="03D2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18" w:type="dxa"/>
            <w:shd w:val="clear" w:color="auto" w:fill="auto"/>
            <w:vAlign w:val="center"/>
          </w:tcPr>
          <w:p w14:paraId="7D1D0730">
            <w:pPr>
              <w:jc w:val="center"/>
              <w:rPr>
                <w:rFonts w:ascii="仿宋" w:hAnsi="仿宋" w:eastAsia="仿宋" w:cs="仿宋"/>
                <w:sz w:val="28"/>
                <w:szCs w:val="28"/>
                <w:highlight w:val="none"/>
              </w:rPr>
            </w:pPr>
            <w:r>
              <w:rPr>
                <w:rFonts w:hint="eastAsia" w:ascii="仿宋" w:hAnsi="仿宋" w:eastAsia="仿宋" w:cs="仿宋"/>
                <w:sz w:val="28"/>
                <w:szCs w:val="28"/>
                <w:highlight w:val="none"/>
              </w:rPr>
              <w:t>21</w:t>
            </w:r>
          </w:p>
        </w:tc>
        <w:tc>
          <w:tcPr>
            <w:tcW w:w="1166" w:type="dxa"/>
            <w:shd w:val="clear" w:color="auto" w:fill="auto"/>
            <w:vAlign w:val="center"/>
          </w:tcPr>
          <w:p w14:paraId="4CD63B8B">
            <w:pPr>
              <w:widowControl/>
              <w:textAlignment w:val="center"/>
              <w:rPr>
                <w:rFonts w:ascii="仿宋" w:hAnsi="仿宋" w:eastAsia="仿宋" w:cs="仿宋"/>
                <w:sz w:val="28"/>
                <w:szCs w:val="28"/>
                <w:highlight w:val="none"/>
              </w:rPr>
            </w:pPr>
            <w:r>
              <w:rPr>
                <w:rFonts w:hint="eastAsia" w:ascii="仿宋" w:hAnsi="仿宋" w:eastAsia="仿宋" w:cs="仿宋"/>
                <w:sz w:val="28"/>
                <w:szCs w:val="28"/>
                <w:highlight w:val="none"/>
              </w:rPr>
              <w:t>丁酮</w:t>
            </w:r>
          </w:p>
        </w:tc>
        <w:tc>
          <w:tcPr>
            <w:tcW w:w="1410" w:type="dxa"/>
            <w:shd w:val="clear" w:color="auto" w:fill="auto"/>
            <w:vAlign w:val="center"/>
          </w:tcPr>
          <w:p w14:paraId="4743F60D">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1.20kg</w:t>
            </w:r>
          </w:p>
        </w:tc>
        <w:tc>
          <w:tcPr>
            <w:tcW w:w="2100" w:type="dxa"/>
            <w:shd w:val="clear" w:color="auto" w:fill="auto"/>
            <w:vAlign w:val="center"/>
          </w:tcPr>
          <w:p w14:paraId="511A9D74">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易制毒化学品</w:t>
            </w:r>
          </w:p>
        </w:tc>
        <w:tc>
          <w:tcPr>
            <w:tcW w:w="3015" w:type="dxa"/>
            <w:shd w:val="clear" w:color="auto" w:fill="auto"/>
            <w:vAlign w:val="center"/>
          </w:tcPr>
          <w:p w14:paraId="797049EC">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分析纯</w:t>
            </w:r>
          </w:p>
        </w:tc>
        <w:tc>
          <w:tcPr>
            <w:tcW w:w="1242" w:type="dxa"/>
            <w:vMerge w:val="continue"/>
            <w:shd w:val="clear" w:color="auto" w:fill="auto"/>
            <w:vAlign w:val="center"/>
          </w:tcPr>
          <w:p w14:paraId="2D6E4815">
            <w:pPr>
              <w:jc w:val="center"/>
              <w:rPr>
                <w:rFonts w:ascii="仿宋" w:hAnsi="仿宋" w:eastAsia="仿宋" w:cs="仿宋"/>
                <w:sz w:val="28"/>
                <w:szCs w:val="28"/>
                <w:highlight w:val="none"/>
              </w:rPr>
            </w:pPr>
          </w:p>
        </w:tc>
      </w:tr>
      <w:tr w14:paraId="675F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18" w:type="dxa"/>
            <w:shd w:val="clear" w:color="auto" w:fill="auto"/>
            <w:vAlign w:val="center"/>
          </w:tcPr>
          <w:p w14:paraId="0D7BD2F9">
            <w:pPr>
              <w:jc w:val="center"/>
              <w:rPr>
                <w:rFonts w:ascii="仿宋" w:hAnsi="仿宋" w:eastAsia="仿宋" w:cs="仿宋"/>
                <w:sz w:val="28"/>
                <w:szCs w:val="28"/>
                <w:highlight w:val="none"/>
              </w:rPr>
            </w:pPr>
            <w:r>
              <w:rPr>
                <w:rFonts w:hint="eastAsia" w:ascii="仿宋" w:hAnsi="仿宋" w:eastAsia="仿宋" w:cs="仿宋"/>
                <w:sz w:val="28"/>
                <w:szCs w:val="28"/>
                <w:highlight w:val="none"/>
              </w:rPr>
              <w:t>22</w:t>
            </w:r>
          </w:p>
        </w:tc>
        <w:tc>
          <w:tcPr>
            <w:tcW w:w="1166" w:type="dxa"/>
            <w:shd w:val="clear" w:color="auto" w:fill="auto"/>
            <w:vAlign w:val="center"/>
          </w:tcPr>
          <w:p w14:paraId="099CA36F">
            <w:pPr>
              <w:widowControl/>
              <w:textAlignment w:val="center"/>
              <w:rPr>
                <w:rFonts w:ascii="仿宋" w:hAnsi="仿宋" w:eastAsia="仿宋" w:cs="仿宋"/>
                <w:sz w:val="28"/>
                <w:szCs w:val="28"/>
                <w:highlight w:val="none"/>
              </w:rPr>
            </w:pPr>
            <w:r>
              <w:rPr>
                <w:rFonts w:hint="eastAsia" w:ascii="仿宋" w:hAnsi="仿宋" w:eastAsia="仿宋" w:cs="仿宋"/>
                <w:sz w:val="28"/>
                <w:szCs w:val="28"/>
                <w:highlight w:val="none"/>
              </w:rPr>
              <w:t>硫磺粉</w:t>
            </w:r>
          </w:p>
        </w:tc>
        <w:tc>
          <w:tcPr>
            <w:tcW w:w="1410" w:type="dxa"/>
            <w:shd w:val="clear" w:color="auto" w:fill="auto"/>
            <w:vAlign w:val="center"/>
          </w:tcPr>
          <w:p w14:paraId="3DFF3C66">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0.5kg</w:t>
            </w:r>
          </w:p>
        </w:tc>
        <w:tc>
          <w:tcPr>
            <w:tcW w:w="2100" w:type="dxa"/>
            <w:shd w:val="clear" w:color="auto" w:fill="auto"/>
            <w:vAlign w:val="center"/>
          </w:tcPr>
          <w:p w14:paraId="770E8208">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易制爆化学品</w:t>
            </w:r>
          </w:p>
        </w:tc>
        <w:tc>
          <w:tcPr>
            <w:tcW w:w="3015" w:type="dxa"/>
            <w:shd w:val="clear" w:color="auto" w:fill="auto"/>
            <w:vAlign w:val="center"/>
          </w:tcPr>
          <w:p w14:paraId="33D08EE8">
            <w:pPr>
              <w:widowControl/>
              <w:jc w:val="center"/>
              <w:textAlignment w:val="center"/>
              <w:rPr>
                <w:rFonts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分析纯</w:t>
            </w:r>
          </w:p>
        </w:tc>
        <w:tc>
          <w:tcPr>
            <w:tcW w:w="1242" w:type="dxa"/>
            <w:vMerge w:val="continue"/>
            <w:shd w:val="clear" w:color="auto" w:fill="auto"/>
            <w:vAlign w:val="center"/>
          </w:tcPr>
          <w:p w14:paraId="0F90B4AB">
            <w:pPr>
              <w:jc w:val="center"/>
              <w:rPr>
                <w:rFonts w:ascii="仿宋" w:hAnsi="仿宋" w:eastAsia="仿宋" w:cs="仿宋"/>
                <w:sz w:val="28"/>
                <w:szCs w:val="28"/>
                <w:highlight w:val="none"/>
              </w:rPr>
            </w:pPr>
          </w:p>
        </w:tc>
      </w:tr>
    </w:tbl>
    <w:p w14:paraId="52766822">
      <w:pPr>
        <w:snapToGrid w:val="0"/>
        <w:spacing w:after="0" w:line="360" w:lineRule="auto"/>
        <w:contextualSpacing/>
        <w:rPr>
          <w:rFonts w:ascii="仿宋" w:hAnsi="仿宋" w:eastAsia="仿宋" w:cs="仿宋"/>
          <w:color w:val="000000"/>
          <w:kern w:val="0"/>
          <w:sz w:val="28"/>
          <w:szCs w:val="28"/>
        </w:rPr>
      </w:pPr>
      <w:r>
        <w:rPr>
          <w:rFonts w:hint="eastAsia" w:ascii="仿宋" w:hAnsi="仿宋" w:eastAsia="仿宋" w:cs="仿宋"/>
          <w:color w:val="000000"/>
          <w:kern w:val="0"/>
          <w:sz w:val="28"/>
          <w:szCs w:val="28"/>
        </w:rPr>
        <w:t>注：</w:t>
      </w:r>
      <w:r>
        <w:rPr>
          <w:rFonts w:hint="eastAsia" w:ascii="仿宋" w:hAnsi="仿宋" w:eastAsia="仿宋" w:cs="仿宋"/>
          <w:sz w:val="28"/>
          <w:szCs w:val="28"/>
        </w:rPr>
        <w:t>投标人所报价格为完成本项目全部服务要求的最终优惠价格。</w:t>
      </w:r>
      <w:bookmarkEnd w:id="5"/>
      <w:bookmarkEnd w:id="6"/>
    </w:p>
    <w:p w14:paraId="20253A1A">
      <w:pPr>
        <w:pStyle w:val="3"/>
        <w:numPr>
          <w:ilvl w:val="0"/>
          <w:numId w:val="1"/>
        </w:numPr>
        <w:spacing w:after="0"/>
        <w:ind w:left="-420" w:leftChars="0" w:right="0" w:rightChars="0" w:hanging="6"/>
        <w:rPr>
          <w:rFonts w:ascii="仿宋" w:hAnsi="仿宋" w:eastAsia="仿宋" w:cs="仿宋"/>
          <w:b/>
          <w:sz w:val="28"/>
          <w:szCs w:val="28"/>
        </w:rPr>
      </w:pPr>
      <w:r>
        <w:rPr>
          <w:rFonts w:hint="eastAsia" w:ascii="仿宋" w:hAnsi="仿宋" w:eastAsia="仿宋" w:cs="仿宋"/>
          <w:b/>
          <w:sz w:val="28"/>
          <w:szCs w:val="28"/>
        </w:rPr>
        <w:t>投标人实质性资格要求</w:t>
      </w:r>
    </w:p>
    <w:p w14:paraId="163E1C3E">
      <w:pPr>
        <w:snapToGrid w:val="0"/>
        <w:spacing w:after="0" w:line="360" w:lineRule="auto"/>
        <w:ind w:left="45" w:leftChars="-66" w:hanging="184" w:hangingChars="66"/>
        <w:contextualSpacing/>
        <w:rPr>
          <w:rFonts w:ascii="仿宋" w:hAnsi="仿宋" w:eastAsia="仿宋" w:cs="仿宋"/>
          <w:sz w:val="28"/>
          <w:szCs w:val="28"/>
        </w:rPr>
      </w:pPr>
      <w:r>
        <w:rPr>
          <w:rFonts w:hint="eastAsia" w:ascii="仿宋" w:hAnsi="仿宋" w:eastAsia="仿宋" w:cs="仿宋"/>
          <w:sz w:val="28"/>
          <w:szCs w:val="28"/>
        </w:rPr>
        <w:t>（一）若投标人是所投产品的制造商，提供其医疗器械生产企业备案证明文件或医疗器械生产企业许可证扫描件；若投标人不是所投产品的制造商（第一类医疗器械除外），提供其医疗器械经营企业备案证明文件或医疗器械经营企业许可证扫描件。</w:t>
      </w:r>
    </w:p>
    <w:p w14:paraId="3AD8571E">
      <w:pPr>
        <w:snapToGrid w:val="0"/>
        <w:spacing w:after="0" w:line="360" w:lineRule="auto"/>
        <w:contextualSpacing/>
        <w:rPr>
          <w:rFonts w:ascii="仿宋" w:hAnsi="仿宋" w:eastAsia="仿宋" w:cs="仿宋"/>
          <w:sz w:val="28"/>
          <w:szCs w:val="28"/>
        </w:rPr>
      </w:pPr>
      <w:r>
        <w:rPr>
          <w:rFonts w:hint="eastAsia" w:ascii="仿宋" w:hAnsi="仿宋" w:eastAsia="仿宋" w:cs="仿宋"/>
          <w:sz w:val="28"/>
          <w:szCs w:val="28"/>
        </w:rPr>
        <w:t>（二）参照《中华人民共和国政府采购法》第二十二条第一款规定的条件，投标人须具备提供以下材料：</w:t>
      </w:r>
    </w:p>
    <w:p w14:paraId="0EF4B782">
      <w:pPr>
        <w:snapToGrid w:val="0"/>
        <w:spacing w:after="0" w:line="360" w:lineRule="auto"/>
        <w:ind w:left="142"/>
        <w:contextualSpacing/>
        <w:rPr>
          <w:rFonts w:ascii="仿宋" w:hAnsi="仿宋" w:eastAsia="仿宋" w:cs="仿宋"/>
          <w:sz w:val="28"/>
          <w:szCs w:val="28"/>
        </w:rPr>
      </w:pPr>
      <w:r>
        <w:rPr>
          <w:rFonts w:hint="eastAsia" w:ascii="仿宋" w:hAnsi="仿宋" w:eastAsia="仿宋" w:cs="仿宋"/>
          <w:sz w:val="28"/>
          <w:szCs w:val="28"/>
        </w:rPr>
        <w:t>1. 营业执照副本或事业单位法人证书或民办非企业单位登记证书或社会团体法人登记证书或基金会法人登记证书扫描件或自然人的身份证明扫描件。</w:t>
      </w:r>
    </w:p>
    <w:p w14:paraId="096A9C5B">
      <w:pPr>
        <w:pStyle w:val="8"/>
        <w:numPr>
          <w:ilvl w:val="0"/>
          <w:numId w:val="3"/>
        </w:numPr>
        <w:snapToGrid w:val="0"/>
        <w:spacing w:after="0" w:line="360" w:lineRule="auto"/>
        <w:ind w:left="142" w:firstLine="0" w:firstLineChars="0"/>
        <w:contextualSpacing/>
        <w:rPr>
          <w:rFonts w:ascii="仿宋" w:hAnsi="仿宋" w:eastAsia="仿宋" w:cs="仿宋"/>
          <w:sz w:val="28"/>
          <w:szCs w:val="28"/>
        </w:rPr>
      </w:pPr>
      <w:r>
        <w:rPr>
          <w:rFonts w:hint="eastAsia" w:ascii="仿宋" w:hAnsi="仿宋" w:eastAsia="仿宋" w:cs="仿宋"/>
          <w:sz w:val="28"/>
          <w:szCs w:val="28"/>
        </w:rPr>
        <w:t>投标人须具有良好的商业信誉和健全的财务会计制度，有依法缴纳税收和社会保障资金，具备履行合同所必需的设备和专业技术能力，在参加采购活动前三年内，在经营活动中没有重大违法记录，提供书面声明原件，提供非联合体投标书面声明。</w:t>
      </w:r>
    </w:p>
    <w:p w14:paraId="411E2CC6">
      <w:pPr>
        <w:autoSpaceDE w:val="0"/>
        <w:autoSpaceDN w:val="0"/>
        <w:adjustRightInd w:val="0"/>
        <w:spacing w:line="360" w:lineRule="auto"/>
        <w:rPr>
          <w:rFonts w:ascii="仿宋" w:hAnsi="仿宋" w:eastAsia="仿宋" w:cs="仿宋"/>
          <w:sz w:val="28"/>
          <w:szCs w:val="28"/>
        </w:rPr>
      </w:pPr>
      <w:r>
        <w:rPr>
          <w:rFonts w:hint="eastAsia" w:ascii="仿宋" w:hAnsi="仿宋" w:eastAsia="仿宋" w:cs="仿宋"/>
          <w:sz w:val="28"/>
          <w:szCs w:val="28"/>
        </w:rPr>
        <w:t>*以上内容均需加盖公章</w:t>
      </w:r>
    </w:p>
    <w:p w14:paraId="7EDF2A73">
      <w:pPr>
        <w:pStyle w:val="3"/>
        <w:numPr>
          <w:ilvl w:val="0"/>
          <w:numId w:val="1"/>
        </w:numPr>
        <w:spacing w:after="0"/>
        <w:ind w:left="-420" w:leftChars="0" w:right="0" w:rightChars="0" w:hanging="6"/>
        <w:rPr>
          <w:rFonts w:ascii="仿宋" w:hAnsi="仿宋" w:eastAsia="仿宋" w:cs="仿宋"/>
          <w:b/>
          <w:sz w:val="28"/>
          <w:szCs w:val="28"/>
        </w:rPr>
      </w:pPr>
      <w:r>
        <w:rPr>
          <w:rFonts w:hint="eastAsia" w:ascii="仿宋" w:hAnsi="仿宋" w:eastAsia="仿宋" w:cs="仿宋"/>
          <w:b/>
          <w:sz w:val="28"/>
          <w:szCs w:val="28"/>
        </w:rPr>
        <w:t>商务需求</w:t>
      </w:r>
    </w:p>
    <w:p w14:paraId="18AA94CD">
      <w:pPr>
        <w:pStyle w:val="4"/>
        <w:rPr>
          <w:rFonts w:ascii="仿宋" w:hAnsi="仿宋" w:eastAsia="仿宋" w:cs="仿宋"/>
          <w:color w:val="FF0000"/>
          <w:sz w:val="28"/>
          <w:szCs w:val="28"/>
        </w:rPr>
      </w:pPr>
      <w:r>
        <w:rPr>
          <w:rFonts w:hint="eastAsia" w:ascii="仿宋" w:hAnsi="仿宋" w:eastAsia="仿宋" w:cs="仿宋"/>
          <w:sz w:val="28"/>
          <w:szCs w:val="28"/>
        </w:rPr>
        <w:t xml:space="preserve">★ </w:t>
      </w:r>
      <w:r>
        <w:rPr>
          <w:rFonts w:hint="eastAsia" w:ascii="宋体" w:hAnsi="宋体" w:cs="仿宋"/>
          <w:sz w:val="28"/>
          <w:szCs w:val="28"/>
          <w:highlight w:val="none"/>
        </w:rPr>
        <w:t>投标产品实质性要求：所投产品须按照《危险化学品安全管理条例》《易制毒化学品管理条例》（国务院第445号令、第591号令）的规定，提供危险化学品经营许可证及非药品类易制毒化学品经营备案证明</w:t>
      </w:r>
    </w:p>
    <w:tbl>
      <w:tblPr>
        <w:tblStyle w:val="5"/>
        <w:tblW w:w="479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45"/>
        <w:gridCol w:w="985"/>
        <w:gridCol w:w="3856"/>
        <w:gridCol w:w="959"/>
        <w:gridCol w:w="1821"/>
      </w:tblGrid>
      <w:tr w14:paraId="270DFA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 w:hRule="atLeast"/>
          <w:jc w:val="center"/>
        </w:trPr>
        <w:tc>
          <w:tcPr>
            <w:tcW w:w="334" w:type="pct"/>
            <w:vAlign w:val="center"/>
          </w:tcPr>
          <w:p w14:paraId="0BDD5A7B">
            <w:pPr>
              <w:rPr>
                <w:rFonts w:ascii="仿宋" w:hAnsi="仿宋" w:eastAsia="仿宋" w:cs="仿宋"/>
                <w:sz w:val="28"/>
                <w:szCs w:val="28"/>
              </w:rPr>
            </w:pPr>
            <w:r>
              <w:rPr>
                <w:rFonts w:hint="eastAsia" w:ascii="仿宋" w:hAnsi="仿宋" w:eastAsia="仿宋" w:cs="仿宋"/>
                <w:sz w:val="28"/>
                <w:szCs w:val="28"/>
              </w:rPr>
              <w:t>序号</w:t>
            </w:r>
          </w:p>
        </w:tc>
        <w:tc>
          <w:tcPr>
            <w:tcW w:w="603" w:type="pct"/>
            <w:vAlign w:val="center"/>
          </w:tcPr>
          <w:p w14:paraId="62D74178">
            <w:pPr>
              <w:rPr>
                <w:rFonts w:ascii="仿宋" w:hAnsi="仿宋" w:eastAsia="仿宋" w:cs="仿宋"/>
                <w:sz w:val="28"/>
                <w:szCs w:val="28"/>
              </w:rPr>
            </w:pPr>
            <w:r>
              <w:rPr>
                <w:rFonts w:hint="eastAsia" w:ascii="仿宋" w:hAnsi="仿宋" w:eastAsia="仿宋" w:cs="仿宋"/>
                <w:sz w:val="28"/>
                <w:szCs w:val="28"/>
              </w:rPr>
              <w:t>需求条款</w:t>
            </w:r>
          </w:p>
        </w:tc>
        <w:tc>
          <w:tcPr>
            <w:tcW w:w="2361" w:type="pct"/>
            <w:vAlign w:val="center"/>
          </w:tcPr>
          <w:p w14:paraId="0B636020">
            <w:pPr>
              <w:rPr>
                <w:rFonts w:ascii="仿宋" w:hAnsi="仿宋" w:eastAsia="仿宋" w:cs="仿宋"/>
                <w:sz w:val="28"/>
                <w:szCs w:val="28"/>
              </w:rPr>
            </w:pPr>
            <w:r>
              <w:rPr>
                <w:rFonts w:hint="eastAsia" w:ascii="仿宋" w:hAnsi="仿宋" w:eastAsia="仿宋" w:cs="仿宋"/>
                <w:sz w:val="28"/>
                <w:szCs w:val="28"/>
              </w:rPr>
              <w:t>具体要求</w:t>
            </w:r>
          </w:p>
        </w:tc>
        <w:tc>
          <w:tcPr>
            <w:tcW w:w="587" w:type="pct"/>
            <w:vAlign w:val="center"/>
          </w:tcPr>
          <w:p w14:paraId="6244D51C">
            <w:pPr>
              <w:rPr>
                <w:rFonts w:ascii="仿宋" w:hAnsi="仿宋" w:eastAsia="仿宋" w:cs="仿宋"/>
                <w:sz w:val="28"/>
                <w:szCs w:val="28"/>
              </w:rPr>
            </w:pPr>
            <w:r>
              <w:rPr>
                <w:rFonts w:hint="eastAsia" w:ascii="仿宋" w:hAnsi="仿宋" w:eastAsia="仿宋" w:cs="仿宋"/>
                <w:sz w:val="28"/>
                <w:szCs w:val="28"/>
              </w:rPr>
              <w:t>是否为实质性条款</w:t>
            </w:r>
          </w:p>
        </w:tc>
        <w:tc>
          <w:tcPr>
            <w:tcW w:w="1115" w:type="pct"/>
            <w:vAlign w:val="center"/>
          </w:tcPr>
          <w:p w14:paraId="56B7FFEE">
            <w:pPr>
              <w:rPr>
                <w:rFonts w:ascii="仿宋" w:hAnsi="仿宋" w:eastAsia="仿宋" w:cs="仿宋"/>
                <w:sz w:val="28"/>
                <w:szCs w:val="28"/>
              </w:rPr>
            </w:pPr>
            <w:r>
              <w:rPr>
                <w:rFonts w:hint="eastAsia" w:ascii="仿宋" w:hAnsi="仿宋" w:eastAsia="仿宋" w:cs="仿宋"/>
                <w:sz w:val="28"/>
                <w:szCs w:val="28"/>
              </w:rPr>
              <w:t>原因说明（实质性条款需列明原因）</w:t>
            </w:r>
          </w:p>
        </w:tc>
      </w:tr>
      <w:tr w14:paraId="0493E5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jc w:val="center"/>
        </w:trPr>
        <w:tc>
          <w:tcPr>
            <w:tcW w:w="334" w:type="pct"/>
            <w:vAlign w:val="center"/>
          </w:tcPr>
          <w:p w14:paraId="534BFA83">
            <w:pPr>
              <w:rPr>
                <w:rFonts w:ascii="仿宋" w:hAnsi="仿宋" w:eastAsia="仿宋" w:cs="仿宋"/>
                <w:sz w:val="28"/>
                <w:szCs w:val="28"/>
              </w:rPr>
            </w:pPr>
            <w:r>
              <w:rPr>
                <w:rFonts w:hint="eastAsia" w:ascii="仿宋" w:hAnsi="仿宋" w:eastAsia="仿宋" w:cs="仿宋"/>
                <w:sz w:val="28"/>
                <w:szCs w:val="28"/>
              </w:rPr>
              <w:t>1</w:t>
            </w:r>
          </w:p>
        </w:tc>
        <w:tc>
          <w:tcPr>
            <w:tcW w:w="603" w:type="pct"/>
            <w:vAlign w:val="center"/>
          </w:tcPr>
          <w:p w14:paraId="6DF14F5C">
            <w:pPr>
              <w:rPr>
                <w:rFonts w:ascii="仿宋" w:hAnsi="仿宋" w:eastAsia="仿宋" w:cs="仿宋"/>
                <w:sz w:val="28"/>
                <w:szCs w:val="28"/>
              </w:rPr>
            </w:pPr>
            <w:r>
              <w:rPr>
                <w:rFonts w:hint="eastAsia" w:ascii="仿宋" w:hAnsi="仿宋" w:eastAsia="仿宋" w:cs="仿宋"/>
                <w:sz w:val="28"/>
                <w:szCs w:val="28"/>
              </w:rPr>
              <w:t>响应价格要求</w:t>
            </w:r>
          </w:p>
        </w:tc>
        <w:tc>
          <w:tcPr>
            <w:tcW w:w="2361" w:type="pct"/>
            <w:vAlign w:val="center"/>
          </w:tcPr>
          <w:p w14:paraId="7AE1625F">
            <w:pPr>
              <w:pStyle w:val="8"/>
              <w:spacing w:after="0"/>
              <w:ind w:firstLine="0" w:firstLineChars="0"/>
              <w:rPr>
                <w:rFonts w:ascii="仿宋" w:hAnsi="仿宋" w:eastAsia="仿宋" w:cs="仿宋"/>
                <w:sz w:val="28"/>
                <w:szCs w:val="28"/>
              </w:rPr>
            </w:pPr>
            <w:r>
              <w:rPr>
                <w:rFonts w:hint="eastAsia" w:ascii="仿宋" w:hAnsi="仿宋" w:eastAsia="仿宋" w:cs="仿宋"/>
                <w:sz w:val="28"/>
                <w:szCs w:val="28"/>
              </w:rPr>
              <w:t>1.以人民币进行结算。所报价格为货物和服务到需方指定地点并投入使用的最终优惠价格</w:t>
            </w:r>
          </w:p>
        </w:tc>
        <w:tc>
          <w:tcPr>
            <w:tcW w:w="587" w:type="pct"/>
            <w:vAlign w:val="center"/>
          </w:tcPr>
          <w:p w14:paraId="5B369528">
            <w:pPr>
              <w:rPr>
                <w:rFonts w:ascii="仿宋" w:hAnsi="仿宋" w:eastAsia="仿宋" w:cs="仿宋"/>
                <w:sz w:val="28"/>
                <w:szCs w:val="28"/>
              </w:rPr>
            </w:pPr>
          </w:p>
        </w:tc>
        <w:tc>
          <w:tcPr>
            <w:tcW w:w="1115" w:type="pct"/>
            <w:vAlign w:val="center"/>
          </w:tcPr>
          <w:p w14:paraId="422B09C7">
            <w:pPr>
              <w:rPr>
                <w:rFonts w:ascii="仿宋" w:hAnsi="仿宋" w:eastAsia="仿宋" w:cs="仿宋"/>
                <w:sz w:val="28"/>
                <w:szCs w:val="28"/>
              </w:rPr>
            </w:pPr>
          </w:p>
        </w:tc>
      </w:tr>
      <w:tr w14:paraId="4395BA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2" w:hRule="atLeast"/>
          <w:jc w:val="center"/>
        </w:trPr>
        <w:tc>
          <w:tcPr>
            <w:tcW w:w="334" w:type="pct"/>
            <w:vMerge w:val="restart"/>
            <w:vAlign w:val="center"/>
          </w:tcPr>
          <w:p w14:paraId="78444DB2">
            <w:pPr>
              <w:rPr>
                <w:rFonts w:ascii="仿宋" w:hAnsi="仿宋" w:eastAsia="仿宋" w:cs="仿宋"/>
                <w:sz w:val="28"/>
                <w:szCs w:val="28"/>
              </w:rPr>
            </w:pPr>
            <w:r>
              <w:rPr>
                <w:rFonts w:hint="eastAsia" w:ascii="仿宋" w:hAnsi="仿宋" w:eastAsia="仿宋" w:cs="仿宋"/>
                <w:sz w:val="28"/>
                <w:szCs w:val="28"/>
              </w:rPr>
              <w:t>2</w:t>
            </w:r>
          </w:p>
        </w:tc>
        <w:tc>
          <w:tcPr>
            <w:tcW w:w="603" w:type="pct"/>
            <w:vMerge w:val="restart"/>
            <w:vAlign w:val="center"/>
          </w:tcPr>
          <w:p w14:paraId="24A77984">
            <w:pPr>
              <w:spacing w:after="0"/>
              <w:rPr>
                <w:rFonts w:ascii="仿宋" w:hAnsi="仿宋" w:eastAsia="仿宋" w:cs="仿宋"/>
                <w:sz w:val="28"/>
                <w:szCs w:val="28"/>
              </w:rPr>
            </w:pPr>
            <w:r>
              <w:rPr>
                <w:rFonts w:hint="eastAsia" w:ascii="仿宋" w:hAnsi="仿宋" w:eastAsia="仿宋" w:cs="仿宋"/>
                <w:sz w:val="28"/>
                <w:szCs w:val="28"/>
              </w:rPr>
              <w:t>售后服务要求</w:t>
            </w:r>
          </w:p>
        </w:tc>
        <w:tc>
          <w:tcPr>
            <w:tcW w:w="2361" w:type="pct"/>
            <w:vAlign w:val="center"/>
          </w:tcPr>
          <w:p w14:paraId="07D2AB6E">
            <w:pPr>
              <w:spacing w:after="0"/>
              <w:rPr>
                <w:rFonts w:ascii="仿宋" w:hAnsi="仿宋" w:eastAsia="仿宋" w:cs="仿宋"/>
                <w:sz w:val="28"/>
                <w:szCs w:val="28"/>
              </w:rPr>
            </w:pPr>
            <w:r>
              <w:rPr>
                <w:rFonts w:hint="eastAsia" w:ascii="仿宋" w:hAnsi="仿宋" w:eastAsia="仿宋" w:cs="仿宋"/>
                <w:sz w:val="28"/>
                <w:szCs w:val="28"/>
              </w:rPr>
              <w:t>1.投标人能够提供良好的售后服务承诺，能够提供售后服务承诺书</w:t>
            </w:r>
          </w:p>
        </w:tc>
        <w:tc>
          <w:tcPr>
            <w:tcW w:w="587" w:type="pct"/>
            <w:vAlign w:val="center"/>
          </w:tcPr>
          <w:p w14:paraId="6E5E7168">
            <w:pPr>
              <w:rPr>
                <w:rFonts w:ascii="仿宋" w:hAnsi="仿宋" w:eastAsia="仿宋" w:cs="仿宋"/>
                <w:sz w:val="28"/>
                <w:szCs w:val="28"/>
              </w:rPr>
            </w:pPr>
          </w:p>
        </w:tc>
        <w:tc>
          <w:tcPr>
            <w:tcW w:w="1115" w:type="pct"/>
            <w:vAlign w:val="center"/>
          </w:tcPr>
          <w:p w14:paraId="7FC99A16">
            <w:pPr>
              <w:rPr>
                <w:rFonts w:ascii="仿宋" w:hAnsi="仿宋" w:eastAsia="仿宋" w:cs="仿宋"/>
                <w:sz w:val="28"/>
                <w:szCs w:val="28"/>
              </w:rPr>
            </w:pPr>
          </w:p>
        </w:tc>
      </w:tr>
      <w:tr w14:paraId="491E7E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52" w:hRule="atLeast"/>
          <w:jc w:val="center"/>
        </w:trPr>
        <w:tc>
          <w:tcPr>
            <w:tcW w:w="334" w:type="pct"/>
            <w:vMerge w:val="continue"/>
            <w:vAlign w:val="center"/>
          </w:tcPr>
          <w:p w14:paraId="20CEF3BD">
            <w:pPr>
              <w:rPr>
                <w:rFonts w:ascii="仿宋" w:hAnsi="仿宋" w:eastAsia="仿宋" w:cs="仿宋"/>
                <w:sz w:val="28"/>
                <w:szCs w:val="28"/>
              </w:rPr>
            </w:pPr>
          </w:p>
        </w:tc>
        <w:tc>
          <w:tcPr>
            <w:tcW w:w="603" w:type="pct"/>
            <w:vMerge w:val="continue"/>
            <w:vAlign w:val="center"/>
          </w:tcPr>
          <w:p w14:paraId="03B4849B">
            <w:pPr>
              <w:spacing w:after="0"/>
              <w:rPr>
                <w:rFonts w:ascii="仿宋" w:hAnsi="仿宋" w:eastAsia="仿宋" w:cs="仿宋"/>
                <w:sz w:val="28"/>
                <w:szCs w:val="28"/>
              </w:rPr>
            </w:pPr>
          </w:p>
        </w:tc>
        <w:tc>
          <w:tcPr>
            <w:tcW w:w="2361" w:type="pct"/>
            <w:vAlign w:val="center"/>
          </w:tcPr>
          <w:p w14:paraId="17A72EC8">
            <w:pPr>
              <w:spacing w:after="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kern w:val="0"/>
                <w:sz w:val="28"/>
                <w:szCs w:val="28"/>
              </w:rPr>
              <w:t>投标人能够提供所投产品制造商及投标人盖章的服务承诺或培训方案，方案完整，内容清晰，能够满足项目要求</w:t>
            </w:r>
            <w:r>
              <w:rPr>
                <w:rFonts w:hint="eastAsia" w:ascii="仿宋" w:hAnsi="仿宋" w:eastAsia="仿宋" w:cs="仿宋"/>
                <w:sz w:val="28"/>
                <w:szCs w:val="28"/>
              </w:rPr>
              <w:t>，保修期自验收合格之日起计算。</w:t>
            </w:r>
          </w:p>
        </w:tc>
        <w:tc>
          <w:tcPr>
            <w:tcW w:w="587" w:type="pct"/>
            <w:vAlign w:val="center"/>
          </w:tcPr>
          <w:p w14:paraId="18ACC6FE">
            <w:pPr>
              <w:rPr>
                <w:rFonts w:ascii="仿宋" w:hAnsi="仿宋" w:eastAsia="仿宋" w:cs="仿宋"/>
                <w:sz w:val="28"/>
                <w:szCs w:val="28"/>
              </w:rPr>
            </w:pPr>
          </w:p>
        </w:tc>
        <w:tc>
          <w:tcPr>
            <w:tcW w:w="1115" w:type="pct"/>
            <w:vAlign w:val="center"/>
          </w:tcPr>
          <w:p w14:paraId="3E85C16F">
            <w:pPr>
              <w:rPr>
                <w:rFonts w:ascii="仿宋" w:hAnsi="仿宋" w:eastAsia="仿宋" w:cs="仿宋"/>
                <w:sz w:val="28"/>
                <w:szCs w:val="28"/>
              </w:rPr>
            </w:pPr>
          </w:p>
        </w:tc>
      </w:tr>
      <w:tr w14:paraId="7FDCB7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5" w:hRule="atLeast"/>
          <w:jc w:val="center"/>
        </w:trPr>
        <w:tc>
          <w:tcPr>
            <w:tcW w:w="334" w:type="pct"/>
            <w:vAlign w:val="center"/>
          </w:tcPr>
          <w:p w14:paraId="7B3B1CC9">
            <w:pPr>
              <w:rPr>
                <w:rFonts w:ascii="仿宋" w:hAnsi="仿宋" w:eastAsia="仿宋" w:cs="仿宋"/>
                <w:sz w:val="28"/>
                <w:szCs w:val="28"/>
              </w:rPr>
            </w:pPr>
            <w:r>
              <w:rPr>
                <w:rFonts w:hint="eastAsia" w:ascii="仿宋" w:hAnsi="仿宋" w:eastAsia="仿宋" w:cs="仿宋"/>
                <w:sz w:val="28"/>
                <w:szCs w:val="28"/>
              </w:rPr>
              <w:t>3</w:t>
            </w:r>
          </w:p>
        </w:tc>
        <w:tc>
          <w:tcPr>
            <w:tcW w:w="603" w:type="pct"/>
            <w:vAlign w:val="center"/>
          </w:tcPr>
          <w:p w14:paraId="55E00DB8">
            <w:pPr>
              <w:spacing w:after="0"/>
              <w:rPr>
                <w:rFonts w:ascii="仿宋" w:hAnsi="仿宋" w:eastAsia="仿宋" w:cs="仿宋"/>
                <w:sz w:val="28"/>
                <w:szCs w:val="28"/>
              </w:rPr>
            </w:pPr>
            <w:r>
              <w:rPr>
                <w:rFonts w:hint="eastAsia" w:ascii="仿宋" w:hAnsi="仿宋" w:eastAsia="仿宋" w:cs="仿宋"/>
                <w:sz w:val="28"/>
                <w:szCs w:val="28"/>
              </w:rPr>
              <w:t>交货要求</w:t>
            </w:r>
          </w:p>
        </w:tc>
        <w:tc>
          <w:tcPr>
            <w:tcW w:w="2361" w:type="pct"/>
            <w:vAlign w:val="center"/>
          </w:tcPr>
          <w:p w14:paraId="1E87B111">
            <w:pPr>
              <w:spacing w:after="0"/>
              <w:jc w:val="left"/>
              <w:rPr>
                <w:rFonts w:ascii="仿宋" w:hAnsi="仿宋" w:eastAsia="仿宋" w:cs="仿宋"/>
                <w:sz w:val="28"/>
                <w:szCs w:val="28"/>
              </w:rPr>
            </w:pPr>
            <w:r>
              <w:rPr>
                <w:rFonts w:hint="eastAsia" w:ascii="仿宋" w:hAnsi="仿宋" w:eastAsia="仿宋" w:cs="仿宋"/>
                <w:sz w:val="28"/>
                <w:szCs w:val="28"/>
              </w:rPr>
              <w:t>1.国产产品：签订合同之日起30日内到货（特殊情况以合同为准）。</w:t>
            </w:r>
          </w:p>
          <w:p w14:paraId="66A0655D">
            <w:pPr>
              <w:spacing w:after="0"/>
              <w:rPr>
                <w:rFonts w:ascii="仿宋" w:hAnsi="仿宋" w:eastAsia="仿宋" w:cs="仿宋"/>
                <w:sz w:val="28"/>
                <w:szCs w:val="28"/>
              </w:rPr>
            </w:pPr>
            <w:r>
              <w:rPr>
                <w:rFonts w:hint="eastAsia" w:ascii="仿宋" w:hAnsi="仿宋" w:eastAsia="仿宋" w:cs="仿宋"/>
                <w:sz w:val="28"/>
                <w:szCs w:val="28"/>
              </w:rPr>
              <w:t>2.进口产品：签订合同之日起90日内到货（特殊情况以合同为准）。</w:t>
            </w:r>
          </w:p>
        </w:tc>
        <w:tc>
          <w:tcPr>
            <w:tcW w:w="587" w:type="pct"/>
            <w:vAlign w:val="center"/>
          </w:tcPr>
          <w:p w14:paraId="74BF0268">
            <w:pPr>
              <w:rPr>
                <w:rFonts w:ascii="仿宋" w:hAnsi="仿宋" w:eastAsia="仿宋" w:cs="仿宋"/>
                <w:sz w:val="28"/>
                <w:szCs w:val="28"/>
              </w:rPr>
            </w:pPr>
          </w:p>
        </w:tc>
        <w:tc>
          <w:tcPr>
            <w:tcW w:w="1115" w:type="pct"/>
            <w:vAlign w:val="center"/>
          </w:tcPr>
          <w:p w14:paraId="6BC71E36">
            <w:pPr>
              <w:rPr>
                <w:rFonts w:ascii="仿宋" w:hAnsi="仿宋" w:eastAsia="仿宋" w:cs="仿宋"/>
                <w:sz w:val="28"/>
                <w:szCs w:val="28"/>
              </w:rPr>
            </w:pPr>
          </w:p>
        </w:tc>
      </w:tr>
      <w:tr w14:paraId="4DEF46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0" w:hRule="atLeast"/>
          <w:jc w:val="center"/>
        </w:trPr>
        <w:tc>
          <w:tcPr>
            <w:tcW w:w="334" w:type="pct"/>
            <w:vAlign w:val="center"/>
          </w:tcPr>
          <w:p w14:paraId="0856CB53">
            <w:pPr>
              <w:rPr>
                <w:rFonts w:ascii="仿宋" w:hAnsi="仿宋" w:eastAsia="仿宋" w:cs="仿宋"/>
                <w:sz w:val="28"/>
                <w:szCs w:val="28"/>
              </w:rPr>
            </w:pPr>
            <w:r>
              <w:rPr>
                <w:rFonts w:hint="eastAsia" w:ascii="仿宋" w:hAnsi="仿宋" w:eastAsia="仿宋" w:cs="仿宋"/>
                <w:sz w:val="28"/>
                <w:szCs w:val="28"/>
              </w:rPr>
              <w:t>4</w:t>
            </w:r>
          </w:p>
        </w:tc>
        <w:tc>
          <w:tcPr>
            <w:tcW w:w="603" w:type="pct"/>
            <w:vAlign w:val="center"/>
          </w:tcPr>
          <w:p w14:paraId="645A0153">
            <w:pPr>
              <w:spacing w:after="0"/>
              <w:rPr>
                <w:rFonts w:ascii="仿宋" w:hAnsi="仿宋" w:eastAsia="仿宋" w:cs="仿宋"/>
                <w:sz w:val="28"/>
                <w:szCs w:val="28"/>
              </w:rPr>
            </w:pPr>
            <w:r>
              <w:rPr>
                <w:rFonts w:hint="eastAsia" w:ascii="仿宋" w:hAnsi="仿宋" w:eastAsia="仿宋" w:cs="仿宋"/>
                <w:sz w:val="28"/>
                <w:szCs w:val="28"/>
              </w:rPr>
              <w:t>验收要求</w:t>
            </w:r>
          </w:p>
        </w:tc>
        <w:tc>
          <w:tcPr>
            <w:tcW w:w="2361" w:type="pct"/>
            <w:vAlign w:val="center"/>
          </w:tcPr>
          <w:p w14:paraId="618C7B31">
            <w:pPr>
              <w:spacing w:after="0"/>
              <w:rPr>
                <w:rFonts w:ascii="仿宋" w:hAnsi="仿宋" w:eastAsia="仿宋" w:cs="仿宋"/>
                <w:sz w:val="28"/>
                <w:szCs w:val="28"/>
              </w:rPr>
            </w:pPr>
            <w:r>
              <w:rPr>
                <w:rFonts w:hint="eastAsia" w:ascii="仿宋" w:hAnsi="仿宋" w:eastAsia="仿宋" w:cs="仿宋"/>
                <w:sz w:val="28"/>
                <w:szCs w:val="28"/>
              </w:rPr>
              <w:t>抽验比例标准；逐条参数验收；有权委托第三方检验机构进行检验，特殊情况以合同为准</w:t>
            </w:r>
          </w:p>
        </w:tc>
        <w:tc>
          <w:tcPr>
            <w:tcW w:w="587" w:type="pct"/>
            <w:vAlign w:val="center"/>
          </w:tcPr>
          <w:p w14:paraId="4A1AB666">
            <w:pPr>
              <w:rPr>
                <w:rFonts w:ascii="仿宋" w:hAnsi="仿宋" w:eastAsia="仿宋" w:cs="仿宋"/>
                <w:sz w:val="28"/>
                <w:szCs w:val="28"/>
              </w:rPr>
            </w:pPr>
          </w:p>
        </w:tc>
        <w:tc>
          <w:tcPr>
            <w:tcW w:w="1115" w:type="pct"/>
            <w:vAlign w:val="center"/>
          </w:tcPr>
          <w:p w14:paraId="4162A1A1">
            <w:pPr>
              <w:rPr>
                <w:rFonts w:ascii="仿宋" w:hAnsi="仿宋" w:eastAsia="仿宋" w:cs="仿宋"/>
                <w:sz w:val="28"/>
                <w:szCs w:val="28"/>
              </w:rPr>
            </w:pPr>
          </w:p>
        </w:tc>
      </w:tr>
      <w:tr w14:paraId="1CB23E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334" w:type="pct"/>
            <w:vAlign w:val="center"/>
          </w:tcPr>
          <w:p w14:paraId="2D88A908">
            <w:pPr>
              <w:rPr>
                <w:rFonts w:ascii="仿宋" w:hAnsi="仿宋" w:eastAsia="仿宋" w:cs="仿宋"/>
                <w:sz w:val="28"/>
                <w:szCs w:val="28"/>
              </w:rPr>
            </w:pPr>
            <w:r>
              <w:rPr>
                <w:rFonts w:hint="eastAsia" w:ascii="仿宋" w:hAnsi="仿宋" w:eastAsia="仿宋" w:cs="仿宋"/>
                <w:sz w:val="28"/>
                <w:szCs w:val="28"/>
              </w:rPr>
              <w:t>5</w:t>
            </w:r>
          </w:p>
        </w:tc>
        <w:tc>
          <w:tcPr>
            <w:tcW w:w="603" w:type="pct"/>
            <w:vAlign w:val="center"/>
          </w:tcPr>
          <w:p w14:paraId="6AFC0A38">
            <w:pPr>
              <w:spacing w:after="0"/>
              <w:rPr>
                <w:rFonts w:ascii="仿宋" w:hAnsi="仿宋" w:eastAsia="仿宋" w:cs="仿宋"/>
                <w:sz w:val="28"/>
                <w:szCs w:val="28"/>
              </w:rPr>
            </w:pPr>
            <w:r>
              <w:rPr>
                <w:rFonts w:hint="eastAsia" w:ascii="仿宋" w:hAnsi="仿宋" w:eastAsia="仿宋" w:cs="仿宋"/>
                <w:sz w:val="28"/>
                <w:szCs w:val="28"/>
              </w:rPr>
              <w:t>付款方式</w:t>
            </w:r>
          </w:p>
        </w:tc>
        <w:tc>
          <w:tcPr>
            <w:tcW w:w="2361" w:type="pct"/>
            <w:vAlign w:val="center"/>
          </w:tcPr>
          <w:p w14:paraId="5C9401EC">
            <w:pPr>
              <w:kinsoku w:val="0"/>
              <w:overflowPunct w:val="0"/>
              <w:autoSpaceDE w:val="0"/>
              <w:autoSpaceDN w:val="0"/>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依据需方要求送货验收，在需方验收合格之日起18个月支付货款。</w:t>
            </w:r>
            <w:r>
              <w:rPr>
                <w:rStyle w:val="9"/>
                <w:rFonts w:hint="eastAsia" w:ascii="仿宋" w:hAnsi="仿宋" w:eastAsia="仿宋" w:cs="仿宋"/>
                <w:bCs/>
                <w:sz w:val="28"/>
                <w:szCs w:val="28"/>
              </w:rPr>
              <w:t>合同以人民币进行结算。</w:t>
            </w:r>
            <w:r>
              <w:rPr>
                <w:rStyle w:val="9"/>
                <w:rFonts w:hint="eastAsia" w:ascii="仿宋" w:hAnsi="仿宋" w:eastAsia="仿宋" w:cs="仿宋"/>
                <w:bCs/>
                <w:sz w:val="28"/>
                <w:szCs w:val="28"/>
                <w:lang w:eastAsia="zh-CN"/>
              </w:rPr>
              <w:t>（以双方签订合同内容为主）</w:t>
            </w:r>
          </w:p>
        </w:tc>
        <w:tc>
          <w:tcPr>
            <w:tcW w:w="587" w:type="pct"/>
            <w:vAlign w:val="center"/>
          </w:tcPr>
          <w:p w14:paraId="0EBEEA81">
            <w:pPr>
              <w:rPr>
                <w:rFonts w:ascii="仿宋" w:hAnsi="仿宋" w:eastAsia="仿宋" w:cs="仿宋"/>
                <w:sz w:val="28"/>
                <w:szCs w:val="28"/>
              </w:rPr>
            </w:pPr>
          </w:p>
        </w:tc>
        <w:tc>
          <w:tcPr>
            <w:tcW w:w="1115" w:type="pct"/>
            <w:vAlign w:val="center"/>
          </w:tcPr>
          <w:p w14:paraId="034BEA62">
            <w:pPr>
              <w:rPr>
                <w:rFonts w:ascii="仿宋" w:hAnsi="仿宋" w:eastAsia="仿宋" w:cs="仿宋"/>
                <w:sz w:val="28"/>
                <w:szCs w:val="28"/>
              </w:rPr>
            </w:pPr>
          </w:p>
        </w:tc>
      </w:tr>
    </w:tbl>
    <w:p w14:paraId="32F7AEC0">
      <w:pPr>
        <w:pStyle w:val="3"/>
        <w:numPr>
          <w:ilvl w:val="0"/>
          <w:numId w:val="1"/>
        </w:numPr>
        <w:spacing w:after="0"/>
        <w:ind w:left="-420" w:leftChars="0" w:right="0" w:rightChars="0" w:hanging="6"/>
        <w:rPr>
          <w:rFonts w:ascii="仿宋" w:hAnsi="仿宋" w:eastAsia="仿宋" w:cs="仿宋"/>
          <w:b/>
          <w:sz w:val="28"/>
          <w:szCs w:val="28"/>
        </w:rPr>
      </w:pPr>
      <w:r>
        <w:rPr>
          <w:rFonts w:hint="eastAsia" w:ascii="仿宋" w:hAnsi="仿宋" w:eastAsia="仿宋" w:cs="仿宋"/>
          <w:b/>
          <w:sz w:val="28"/>
          <w:szCs w:val="28"/>
        </w:rPr>
        <w:t>评标方法及评审因素与标准</w:t>
      </w:r>
    </w:p>
    <w:p w14:paraId="3834E410">
      <w:pPr>
        <w:pStyle w:val="8"/>
        <w:snapToGrid w:val="0"/>
        <w:spacing w:after="0" w:line="360" w:lineRule="auto"/>
        <w:ind w:left="-2" w:leftChars="-1" w:firstLine="565" w:firstLineChars="202"/>
        <w:contextualSpacing/>
        <w:rPr>
          <w:rFonts w:ascii="仿宋" w:hAnsi="仿宋" w:eastAsia="仿宋" w:cs="仿宋"/>
          <w:color w:val="000000"/>
          <w:sz w:val="28"/>
          <w:szCs w:val="28"/>
        </w:rPr>
      </w:pPr>
      <w:r>
        <w:rPr>
          <w:rFonts w:hint="eastAsia" w:ascii="仿宋" w:hAnsi="仿宋" w:eastAsia="仿宋" w:cs="仿宋"/>
          <w:sz w:val="28"/>
          <w:szCs w:val="28"/>
        </w:rPr>
        <w:t>注“★”号条款为实质性条款，不得出现负偏离，发生负偏离即做无效标处理。</w:t>
      </w:r>
    </w:p>
    <w:p w14:paraId="4FF96672">
      <w:pPr>
        <w:numPr>
          <w:ilvl w:val="0"/>
          <w:numId w:val="4"/>
        </w:numPr>
        <w:snapToGrid w:val="0"/>
        <w:spacing w:after="0"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采用“综合评分法”的评标方法。评标采用百分制，各评委独立分别对实质上响应比选文件进行逐项打分，对评标委员会各成员每一因素的打分汇总后取算术平均分，该平均分为投标人的得分。</w:t>
      </w:r>
    </w:p>
    <w:p w14:paraId="596D1B38">
      <w:pPr>
        <w:numPr>
          <w:ilvl w:val="0"/>
          <w:numId w:val="4"/>
        </w:numPr>
        <w:snapToGrid w:val="0"/>
        <w:spacing w:after="0" w:line="360" w:lineRule="auto"/>
        <w:contextualSpacing/>
        <w:rPr>
          <w:rFonts w:ascii="仿宋" w:hAnsi="仿宋" w:eastAsia="仿宋" w:cs="仿宋"/>
          <w:sz w:val="28"/>
          <w:szCs w:val="28"/>
        </w:rPr>
      </w:pPr>
      <w:r>
        <w:rPr>
          <w:rFonts w:hint="eastAsia" w:ascii="仿宋" w:hAnsi="仿宋" w:eastAsia="仿宋" w:cs="仿宋"/>
          <w:sz w:val="28"/>
          <w:szCs w:val="28"/>
        </w:rPr>
        <w:t>评审因素与标准</w:t>
      </w:r>
    </w:p>
    <w:tbl>
      <w:tblPr>
        <w:tblStyle w:val="5"/>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1208"/>
        <w:gridCol w:w="6446"/>
        <w:gridCol w:w="851"/>
      </w:tblGrid>
      <w:tr w14:paraId="05A9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075" w:type="dxa"/>
            <w:gridSpan w:val="3"/>
            <w:vAlign w:val="center"/>
          </w:tcPr>
          <w:p w14:paraId="77B54ACB">
            <w:pPr>
              <w:jc w:val="center"/>
              <w:rPr>
                <w:rFonts w:ascii="仿宋" w:hAnsi="仿宋" w:eastAsia="仿宋" w:cs="仿宋"/>
                <w:sz w:val="28"/>
                <w:szCs w:val="28"/>
              </w:rPr>
            </w:pPr>
            <w:r>
              <w:rPr>
                <w:rFonts w:hint="eastAsia" w:ascii="仿宋" w:hAnsi="仿宋" w:eastAsia="仿宋" w:cs="仿宋"/>
                <w:sz w:val="28"/>
                <w:szCs w:val="28"/>
              </w:rPr>
              <w:t>第一部分价格（30分）</w:t>
            </w:r>
          </w:p>
        </w:tc>
        <w:tc>
          <w:tcPr>
            <w:tcW w:w="851" w:type="dxa"/>
            <w:vAlign w:val="center"/>
          </w:tcPr>
          <w:p w14:paraId="7CBD64B9">
            <w:pPr>
              <w:rPr>
                <w:rFonts w:ascii="仿宋" w:hAnsi="仿宋" w:eastAsia="仿宋" w:cs="仿宋"/>
                <w:sz w:val="28"/>
                <w:szCs w:val="28"/>
              </w:rPr>
            </w:pPr>
            <w:r>
              <w:rPr>
                <w:rFonts w:hint="eastAsia" w:ascii="仿宋" w:hAnsi="仿宋" w:eastAsia="仿宋" w:cs="仿宋"/>
                <w:sz w:val="28"/>
                <w:szCs w:val="28"/>
              </w:rPr>
              <w:t>分值</w:t>
            </w:r>
          </w:p>
        </w:tc>
      </w:tr>
      <w:tr w14:paraId="26C3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421" w:type="dxa"/>
            <w:noWrap/>
            <w:vAlign w:val="center"/>
          </w:tcPr>
          <w:p w14:paraId="290821AF">
            <w:pPr>
              <w:rPr>
                <w:rFonts w:ascii="仿宋" w:hAnsi="仿宋" w:eastAsia="仿宋" w:cs="仿宋"/>
                <w:sz w:val="28"/>
                <w:szCs w:val="28"/>
              </w:rPr>
            </w:pPr>
            <w:r>
              <w:rPr>
                <w:rFonts w:hint="eastAsia" w:ascii="仿宋" w:hAnsi="仿宋" w:eastAsia="仿宋" w:cs="仿宋"/>
                <w:sz w:val="28"/>
                <w:szCs w:val="28"/>
              </w:rPr>
              <w:t>1</w:t>
            </w:r>
          </w:p>
        </w:tc>
        <w:tc>
          <w:tcPr>
            <w:tcW w:w="1208" w:type="dxa"/>
            <w:vAlign w:val="center"/>
          </w:tcPr>
          <w:p w14:paraId="72232E11">
            <w:pPr>
              <w:rPr>
                <w:rFonts w:ascii="仿宋" w:hAnsi="仿宋" w:eastAsia="仿宋" w:cs="仿宋"/>
                <w:sz w:val="28"/>
                <w:szCs w:val="28"/>
              </w:rPr>
            </w:pPr>
            <w:r>
              <w:rPr>
                <w:rFonts w:hint="eastAsia" w:ascii="仿宋" w:hAnsi="仿宋" w:eastAsia="仿宋" w:cs="仿宋"/>
                <w:sz w:val="28"/>
                <w:szCs w:val="28"/>
              </w:rPr>
              <w:t>价格</w:t>
            </w:r>
          </w:p>
        </w:tc>
        <w:tc>
          <w:tcPr>
            <w:tcW w:w="6446" w:type="dxa"/>
            <w:vAlign w:val="center"/>
          </w:tcPr>
          <w:p w14:paraId="2FBFF19F">
            <w:pPr>
              <w:rPr>
                <w:rFonts w:ascii="仿宋" w:hAnsi="仿宋" w:eastAsia="仿宋" w:cs="仿宋"/>
                <w:sz w:val="28"/>
                <w:szCs w:val="28"/>
              </w:rPr>
            </w:pPr>
            <w:r>
              <w:rPr>
                <w:rFonts w:hint="eastAsia" w:ascii="仿宋" w:hAnsi="仿宋" w:eastAsia="仿宋" w:cs="仿宋"/>
                <w:sz w:val="28"/>
                <w:szCs w:val="28"/>
              </w:rPr>
              <w:t>（1）投标报价超过采购预算的，投标无效，未超过采购预算的投标报价按以下公式进行计算</w:t>
            </w:r>
          </w:p>
          <w:p w14:paraId="1C37BB23">
            <w:pPr>
              <w:rPr>
                <w:rFonts w:ascii="仿宋" w:hAnsi="仿宋" w:eastAsia="仿宋" w:cs="仿宋"/>
                <w:sz w:val="28"/>
                <w:szCs w:val="28"/>
              </w:rPr>
            </w:pPr>
            <w:r>
              <w:rPr>
                <w:rFonts w:hint="eastAsia" w:ascii="仿宋" w:hAnsi="仿宋" w:eastAsia="仿宋" w:cs="仿宋"/>
                <w:sz w:val="28"/>
                <w:szCs w:val="28"/>
              </w:rPr>
              <w:t>（2）投标报价得分=（评标基准价/投标报价）×30</w:t>
            </w:r>
          </w:p>
          <w:p w14:paraId="6934F5BE">
            <w:pPr>
              <w:rPr>
                <w:rFonts w:ascii="仿宋" w:hAnsi="仿宋" w:eastAsia="仿宋" w:cs="仿宋"/>
                <w:sz w:val="28"/>
                <w:szCs w:val="28"/>
              </w:rPr>
            </w:pPr>
            <w:r>
              <w:rPr>
                <w:rFonts w:hint="eastAsia" w:ascii="仿宋" w:hAnsi="仿宋" w:eastAsia="仿宋" w:cs="仿宋"/>
                <w:sz w:val="28"/>
                <w:szCs w:val="28"/>
              </w:rPr>
              <w:t>注：满足院内比选文件要求且投标报价最低的投标报价为评标基准价</w:t>
            </w:r>
          </w:p>
        </w:tc>
        <w:tc>
          <w:tcPr>
            <w:tcW w:w="851" w:type="dxa"/>
            <w:vAlign w:val="center"/>
          </w:tcPr>
          <w:p w14:paraId="41539F4C">
            <w:pPr>
              <w:rPr>
                <w:rFonts w:ascii="仿宋" w:hAnsi="仿宋" w:eastAsia="仿宋" w:cs="仿宋"/>
                <w:sz w:val="28"/>
                <w:szCs w:val="28"/>
              </w:rPr>
            </w:pPr>
            <w:r>
              <w:rPr>
                <w:rFonts w:hint="eastAsia" w:ascii="仿宋" w:hAnsi="仿宋" w:eastAsia="仿宋" w:cs="仿宋"/>
                <w:sz w:val="28"/>
                <w:szCs w:val="28"/>
              </w:rPr>
              <w:t>30</w:t>
            </w:r>
          </w:p>
        </w:tc>
      </w:tr>
      <w:tr w14:paraId="3AF7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075" w:type="dxa"/>
            <w:gridSpan w:val="3"/>
            <w:noWrap/>
            <w:vAlign w:val="center"/>
          </w:tcPr>
          <w:p w14:paraId="55F3AA73">
            <w:pPr>
              <w:jc w:val="center"/>
              <w:rPr>
                <w:rFonts w:ascii="仿宋" w:hAnsi="仿宋" w:eastAsia="仿宋" w:cs="仿宋"/>
                <w:sz w:val="28"/>
                <w:szCs w:val="28"/>
              </w:rPr>
            </w:pPr>
            <w:r>
              <w:rPr>
                <w:rFonts w:hint="eastAsia" w:ascii="仿宋" w:hAnsi="仿宋" w:eastAsia="仿宋" w:cs="仿宋"/>
                <w:sz w:val="28"/>
                <w:szCs w:val="28"/>
              </w:rPr>
              <w:t>第二部分商务及技术部分（70分）</w:t>
            </w:r>
          </w:p>
        </w:tc>
        <w:tc>
          <w:tcPr>
            <w:tcW w:w="851" w:type="dxa"/>
            <w:vAlign w:val="center"/>
          </w:tcPr>
          <w:p w14:paraId="475C7A59">
            <w:pPr>
              <w:rPr>
                <w:rFonts w:ascii="仿宋" w:hAnsi="仿宋" w:eastAsia="仿宋" w:cs="仿宋"/>
                <w:sz w:val="28"/>
                <w:szCs w:val="28"/>
              </w:rPr>
            </w:pPr>
            <w:r>
              <w:rPr>
                <w:rFonts w:hint="eastAsia" w:ascii="仿宋" w:hAnsi="仿宋" w:eastAsia="仿宋" w:cs="仿宋"/>
                <w:sz w:val="28"/>
                <w:szCs w:val="28"/>
              </w:rPr>
              <w:t>分值</w:t>
            </w:r>
          </w:p>
        </w:tc>
      </w:tr>
      <w:tr w14:paraId="5AB0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421" w:type="dxa"/>
            <w:noWrap/>
            <w:vAlign w:val="center"/>
          </w:tcPr>
          <w:p w14:paraId="04CFDA63">
            <w:pPr>
              <w:rPr>
                <w:rFonts w:ascii="仿宋" w:hAnsi="仿宋" w:eastAsia="仿宋" w:cs="仿宋"/>
                <w:sz w:val="28"/>
                <w:szCs w:val="28"/>
              </w:rPr>
            </w:pPr>
            <w:r>
              <w:rPr>
                <w:rFonts w:hint="eastAsia" w:ascii="仿宋" w:hAnsi="仿宋" w:eastAsia="仿宋" w:cs="仿宋"/>
                <w:sz w:val="28"/>
                <w:szCs w:val="28"/>
              </w:rPr>
              <w:t>1</w:t>
            </w:r>
          </w:p>
        </w:tc>
        <w:tc>
          <w:tcPr>
            <w:tcW w:w="1208" w:type="dxa"/>
            <w:vAlign w:val="center"/>
          </w:tcPr>
          <w:p w14:paraId="182AF1D1">
            <w:pPr>
              <w:rPr>
                <w:rFonts w:ascii="仿宋" w:hAnsi="仿宋" w:eastAsia="仿宋" w:cs="仿宋"/>
                <w:sz w:val="28"/>
                <w:szCs w:val="28"/>
              </w:rPr>
            </w:pPr>
            <w:r>
              <w:rPr>
                <w:rFonts w:hint="eastAsia" w:ascii="仿宋" w:hAnsi="仿宋" w:eastAsia="仿宋" w:cs="仿宋"/>
                <w:sz w:val="28"/>
                <w:szCs w:val="28"/>
              </w:rPr>
              <w:t>保修时间评价</w:t>
            </w:r>
          </w:p>
        </w:tc>
        <w:tc>
          <w:tcPr>
            <w:tcW w:w="6446" w:type="dxa"/>
            <w:vAlign w:val="center"/>
          </w:tcPr>
          <w:p w14:paraId="6D09CDF6">
            <w:pPr>
              <w:rPr>
                <w:rFonts w:ascii="仿宋" w:hAnsi="仿宋" w:eastAsia="仿宋" w:cs="仿宋"/>
                <w:sz w:val="28"/>
                <w:szCs w:val="28"/>
              </w:rPr>
            </w:pPr>
            <w:r>
              <w:rPr>
                <w:rFonts w:hint="eastAsia" w:ascii="仿宋" w:hAnsi="仿宋" w:eastAsia="仿宋" w:cs="仿宋"/>
                <w:sz w:val="28"/>
                <w:szCs w:val="28"/>
              </w:rPr>
              <w:t>满足院内比选招标文件要求的基础上所投产品每增加1年保修得3分，最多12分。保修期内免费更换零配件，。7×24小时技术响应，48小时内维修工程师到达维修现场。保修期自验收合格之日起计算</w:t>
            </w:r>
          </w:p>
        </w:tc>
        <w:tc>
          <w:tcPr>
            <w:tcW w:w="851" w:type="dxa"/>
            <w:vAlign w:val="center"/>
          </w:tcPr>
          <w:p w14:paraId="2C1AF382">
            <w:pPr>
              <w:rPr>
                <w:rFonts w:ascii="仿宋" w:hAnsi="仿宋" w:eastAsia="仿宋" w:cs="仿宋"/>
                <w:sz w:val="28"/>
                <w:szCs w:val="28"/>
              </w:rPr>
            </w:pPr>
            <w:r>
              <w:rPr>
                <w:rFonts w:hint="eastAsia" w:ascii="仿宋" w:hAnsi="仿宋" w:eastAsia="仿宋" w:cs="仿宋"/>
                <w:sz w:val="28"/>
                <w:szCs w:val="28"/>
              </w:rPr>
              <w:t>12</w:t>
            </w:r>
          </w:p>
        </w:tc>
      </w:tr>
      <w:tr w14:paraId="3C6A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421" w:type="dxa"/>
            <w:noWrap/>
            <w:vAlign w:val="center"/>
          </w:tcPr>
          <w:p w14:paraId="63934729">
            <w:pPr>
              <w:rPr>
                <w:rFonts w:ascii="仿宋" w:hAnsi="仿宋" w:eastAsia="仿宋" w:cs="仿宋"/>
                <w:sz w:val="28"/>
                <w:szCs w:val="28"/>
              </w:rPr>
            </w:pPr>
            <w:r>
              <w:rPr>
                <w:rFonts w:hint="eastAsia" w:ascii="仿宋" w:hAnsi="仿宋" w:eastAsia="仿宋" w:cs="仿宋"/>
                <w:sz w:val="28"/>
                <w:szCs w:val="28"/>
              </w:rPr>
              <w:t>2</w:t>
            </w:r>
          </w:p>
        </w:tc>
        <w:tc>
          <w:tcPr>
            <w:tcW w:w="1208" w:type="dxa"/>
            <w:vAlign w:val="center"/>
          </w:tcPr>
          <w:p w14:paraId="27B226A8">
            <w:pPr>
              <w:rPr>
                <w:rFonts w:ascii="仿宋" w:hAnsi="仿宋" w:eastAsia="仿宋" w:cs="仿宋"/>
                <w:sz w:val="28"/>
                <w:szCs w:val="28"/>
              </w:rPr>
            </w:pPr>
            <w:r>
              <w:rPr>
                <w:rFonts w:hint="eastAsia" w:ascii="仿宋" w:hAnsi="仿宋" w:eastAsia="仿宋" w:cs="仿宋"/>
                <w:sz w:val="28"/>
                <w:szCs w:val="28"/>
              </w:rPr>
              <w:t>制造商认证评价</w:t>
            </w:r>
          </w:p>
        </w:tc>
        <w:tc>
          <w:tcPr>
            <w:tcW w:w="6446" w:type="dxa"/>
            <w:vAlign w:val="center"/>
          </w:tcPr>
          <w:p w14:paraId="51758E40">
            <w:pPr>
              <w:snapToGrid w:val="0"/>
              <w:rPr>
                <w:rFonts w:ascii="仿宋" w:hAnsi="仿宋" w:eastAsia="仿宋" w:cs="仿宋"/>
                <w:sz w:val="28"/>
                <w:szCs w:val="28"/>
              </w:rPr>
            </w:pPr>
            <w:bookmarkStart w:id="7" w:name="OLE_LINK7"/>
            <w:bookmarkStart w:id="8" w:name="OLE_LINK23"/>
            <w:bookmarkStart w:id="9" w:name="OLE_LINK21"/>
            <w:r>
              <w:rPr>
                <w:rFonts w:hint="eastAsia" w:ascii="仿宋" w:hAnsi="仿宋" w:eastAsia="仿宋" w:cs="仿宋"/>
                <w:sz w:val="28"/>
                <w:szCs w:val="28"/>
              </w:rPr>
              <w:t>所投产品</w:t>
            </w:r>
            <w:bookmarkEnd w:id="7"/>
            <w:r>
              <w:rPr>
                <w:rFonts w:hint="eastAsia" w:ascii="仿宋" w:hAnsi="仿宋" w:eastAsia="仿宋" w:cs="仿宋"/>
                <w:sz w:val="28"/>
                <w:szCs w:val="28"/>
              </w:rPr>
              <w:t>的制造商具备质量管理体系认证、职业健康安全管理体系认证、环境管理体系认证、医疗器械质量管理体系认证，投标文件中提供证书扫描件。</w:t>
            </w:r>
            <w:bookmarkStart w:id="10" w:name="OLE_LINK15"/>
            <w:r>
              <w:rPr>
                <w:rFonts w:hint="eastAsia" w:ascii="仿宋" w:hAnsi="仿宋" w:eastAsia="仿宋" w:cs="仿宋"/>
                <w:sz w:val="28"/>
                <w:szCs w:val="28"/>
              </w:rPr>
              <w:t>具备1份证书得1分，最多4分</w:t>
            </w:r>
            <w:bookmarkEnd w:id="8"/>
            <w:bookmarkEnd w:id="9"/>
            <w:bookmarkEnd w:id="10"/>
          </w:p>
        </w:tc>
        <w:tc>
          <w:tcPr>
            <w:tcW w:w="851" w:type="dxa"/>
            <w:vAlign w:val="center"/>
          </w:tcPr>
          <w:p w14:paraId="786D5FEF">
            <w:pPr>
              <w:rPr>
                <w:rFonts w:ascii="仿宋" w:hAnsi="仿宋" w:eastAsia="仿宋" w:cs="仿宋"/>
                <w:sz w:val="28"/>
                <w:szCs w:val="28"/>
              </w:rPr>
            </w:pPr>
            <w:r>
              <w:rPr>
                <w:rFonts w:hint="eastAsia" w:ascii="仿宋" w:hAnsi="仿宋" w:eastAsia="仿宋" w:cs="仿宋"/>
                <w:sz w:val="28"/>
                <w:szCs w:val="28"/>
              </w:rPr>
              <w:t>4</w:t>
            </w:r>
          </w:p>
        </w:tc>
      </w:tr>
      <w:tr w14:paraId="27DD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421" w:type="dxa"/>
            <w:noWrap/>
            <w:vAlign w:val="center"/>
          </w:tcPr>
          <w:p w14:paraId="06566846">
            <w:pPr>
              <w:rPr>
                <w:rFonts w:ascii="仿宋" w:hAnsi="仿宋" w:eastAsia="仿宋" w:cs="仿宋"/>
                <w:sz w:val="28"/>
                <w:szCs w:val="28"/>
              </w:rPr>
            </w:pPr>
            <w:r>
              <w:rPr>
                <w:rFonts w:hint="eastAsia" w:ascii="仿宋" w:hAnsi="仿宋" w:eastAsia="仿宋" w:cs="仿宋"/>
                <w:sz w:val="28"/>
                <w:szCs w:val="28"/>
              </w:rPr>
              <w:t>3</w:t>
            </w:r>
          </w:p>
        </w:tc>
        <w:tc>
          <w:tcPr>
            <w:tcW w:w="1208" w:type="dxa"/>
            <w:vAlign w:val="center"/>
          </w:tcPr>
          <w:p w14:paraId="1F366C11">
            <w:pPr>
              <w:rPr>
                <w:rFonts w:ascii="仿宋" w:hAnsi="仿宋" w:eastAsia="仿宋" w:cs="仿宋"/>
                <w:sz w:val="28"/>
                <w:szCs w:val="28"/>
              </w:rPr>
            </w:pPr>
            <w:bookmarkStart w:id="11" w:name="OLE_LINK20"/>
            <w:r>
              <w:rPr>
                <w:rFonts w:hint="eastAsia" w:ascii="仿宋" w:hAnsi="仿宋" w:eastAsia="仿宋" w:cs="仿宋"/>
                <w:sz w:val="28"/>
                <w:szCs w:val="28"/>
              </w:rPr>
              <w:t>产品检验检测</w:t>
            </w:r>
            <w:bookmarkEnd w:id="11"/>
            <w:r>
              <w:rPr>
                <w:rFonts w:hint="eastAsia" w:ascii="仿宋" w:hAnsi="仿宋" w:eastAsia="仿宋" w:cs="仿宋"/>
                <w:sz w:val="28"/>
                <w:szCs w:val="28"/>
              </w:rPr>
              <w:t>评价</w:t>
            </w:r>
          </w:p>
        </w:tc>
        <w:tc>
          <w:tcPr>
            <w:tcW w:w="6446" w:type="dxa"/>
            <w:vAlign w:val="center"/>
          </w:tcPr>
          <w:p w14:paraId="13596B2F">
            <w:pPr>
              <w:snapToGrid w:val="0"/>
              <w:rPr>
                <w:rFonts w:ascii="仿宋" w:hAnsi="仿宋" w:eastAsia="仿宋" w:cs="仿宋"/>
                <w:sz w:val="28"/>
                <w:szCs w:val="28"/>
              </w:rPr>
            </w:pPr>
            <w:bookmarkStart w:id="12" w:name="OLE_LINK24"/>
            <w:r>
              <w:rPr>
                <w:rFonts w:hint="eastAsia" w:ascii="仿宋" w:hAnsi="仿宋" w:eastAsia="仿宋" w:cs="仿宋"/>
                <w:sz w:val="28"/>
                <w:szCs w:val="28"/>
              </w:rPr>
              <w:t>所投产品具有第三方机构出具的检验检测报告。具备1份证书得4分</w:t>
            </w:r>
            <w:bookmarkEnd w:id="12"/>
          </w:p>
        </w:tc>
        <w:tc>
          <w:tcPr>
            <w:tcW w:w="851" w:type="dxa"/>
            <w:vAlign w:val="center"/>
          </w:tcPr>
          <w:p w14:paraId="79289CD2">
            <w:pPr>
              <w:rPr>
                <w:rFonts w:ascii="仿宋" w:hAnsi="仿宋" w:eastAsia="仿宋" w:cs="仿宋"/>
                <w:sz w:val="28"/>
                <w:szCs w:val="28"/>
              </w:rPr>
            </w:pPr>
            <w:r>
              <w:rPr>
                <w:rFonts w:hint="eastAsia" w:ascii="仿宋" w:hAnsi="仿宋" w:eastAsia="仿宋" w:cs="仿宋"/>
                <w:sz w:val="28"/>
                <w:szCs w:val="28"/>
              </w:rPr>
              <w:t>4</w:t>
            </w:r>
          </w:p>
        </w:tc>
      </w:tr>
      <w:tr w14:paraId="0084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1" w:type="dxa"/>
            <w:noWrap/>
            <w:vAlign w:val="center"/>
          </w:tcPr>
          <w:p w14:paraId="2333341C">
            <w:pPr>
              <w:rPr>
                <w:rFonts w:ascii="仿宋" w:hAnsi="仿宋" w:eastAsia="仿宋" w:cs="仿宋"/>
                <w:sz w:val="28"/>
                <w:szCs w:val="28"/>
              </w:rPr>
            </w:pPr>
            <w:r>
              <w:rPr>
                <w:rFonts w:hint="eastAsia" w:ascii="仿宋" w:hAnsi="仿宋" w:eastAsia="仿宋" w:cs="仿宋"/>
                <w:sz w:val="28"/>
                <w:szCs w:val="28"/>
              </w:rPr>
              <w:t>4</w:t>
            </w:r>
          </w:p>
        </w:tc>
        <w:tc>
          <w:tcPr>
            <w:tcW w:w="1208" w:type="dxa"/>
            <w:vAlign w:val="center"/>
          </w:tcPr>
          <w:p w14:paraId="66A32B2D">
            <w:pPr>
              <w:rPr>
                <w:rFonts w:ascii="仿宋" w:hAnsi="仿宋" w:eastAsia="仿宋" w:cs="仿宋"/>
                <w:sz w:val="28"/>
                <w:szCs w:val="28"/>
              </w:rPr>
            </w:pPr>
            <w:r>
              <w:rPr>
                <w:rFonts w:hint="eastAsia" w:ascii="仿宋" w:hAnsi="仿宋" w:eastAsia="仿宋" w:cs="仿宋"/>
                <w:sz w:val="28"/>
                <w:szCs w:val="28"/>
              </w:rPr>
              <w:t>项目实施能力评价</w:t>
            </w:r>
          </w:p>
        </w:tc>
        <w:tc>
          <w:tcPr>
            <w:tcW w:w="6446" w:type="dxa"/>
            <w:vAlign w:val="center"/>
          </w:tcPr>
          <w:p w14:paraId="63C11E47">
            <w:pPr>
              <w:rPr>
                <w:rFonts w:ascii="仿宋" w:hAnsi="仿宋" w:eastAsia="仿宋" w:cs="仿宋"/>
                <w:sz w:val="28"/>
                <w:szCs w:val="28"/>
              </w:rPr>
            </w:pPr>
            <w:r>
              <w:rPr>
                <w:rFonts w:hint="eastAsia" w:ascii="仿宋" w:hAnsi="仿宋" w:eastAsia="仿宋" w:cs="仿宋"/>
                <w:sz w:val="28"/>
                <w:szCs w:val="28"/>
              </w:rPr>
              <w:t>根据所投相关产品业绩，响应文件中提供所投产品相关的使用用户盖章的证明材料扫描件，一种产品的一份材料得5分，最多15分</w:t>
            </w:r>
          </w:p>
        </w:tc>
        <w:tc>
          <w:tcPr>
            <w:tcW w:w="851" w:type="dxa"/>
            <w:vAlign w:val="center"/>
          </w:tcPr>
          <w:p w14:paraId="0FB3EB74">
            <w:pPr>
              <w:rPr>
                <w:rFonts w:ascii="仿宋" w:hAnsi="仿宋" w:eastAsia="仿宋" w:cs="仿宋"/>
                <w:sz w:val="28"/>
                <w:szCs w:val="28"/>
              </w:rPr>
            </w:pPr>
            <w:r>
              <w:rPr>
                <w:rFonts w:hint="eastAsia" w:ascii="仿宋" w:hAnsi="仿宋" w:eastAsia="仿宋" w:cs="仿宋"/>
                <w:sz w:val="28"/>
                <w:szCs w:val="28"/>
              </w:rPr>
              <w:t>15</w:t>
            </w:r>
          </w:p>
        </w:tc>
      </w:tr>
      <w:tr w14:paraId="5D95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21" w:type="dxa"/>
            <w:noWrap/>
            <w:vAlign w:val="center"/>
          </w:tcPr>
          <w:p w14:paraId="71265B43">
            <w:pPr>
              <w:rPr>
                <w:rFonts w:ascii="仿宋" w:hAnsi="仿宋" w:eastAsia="仿宋" w:cs="仿宋"/>
                <w:sz w:val="28"/>
                <w:szCs w:val="28"/>
              </w:rPr>
            </w:pPr>
            <w:r>
              <w:rPr>
                <w:rFonts w:hint="eastAsia" w:ascii="仿宋" w:hAnsi="仿宋" w:eastAsia="仿宋" w:cs="仿宋"/>
                <w:sz w:val="28"/>
                <w:szCs w:val="28"/>
              </w:rPr>
              <w:t>5</w:t>
            </w:r>
          </w:p>
        </w:tc>
        <w:tc>
          <w:tcPr>
            <w:tcW w:w="1208" w:type="dxa"/>
            <w:vAlign w:val="center"/>
          </w:tcPr>
          <w:p w14:paraId="1AAD0363">
            <w:pPr>
              <w:rPr>
                <w:rFonts w:ascii="仿宋" w:hAnsi="仿宋" w:eastAsia="仿宋" w:cs="仿宋"/>
                <w:sz w:val="28"/>
                <w:szCs w:val="28"/>
              </w:rPr>
            </w:pPr>
            <w:r>
              <w:rPr>
                <w:rFonts w:hint="eastAsia" w:ascii="仿宋" w:hAnsi="仿宋" w:eastAsia="仿宋" w:cs="仿宋"/>
                <w:sz w:val="28"/>
                <w:szCs w:val="28"/>
              </w:rPr>
              <w:t>产品参数响应证明评价</w:t>
            </w:r>
          </w:p>
        </w:tc>
        <w:tc>
          <w:tcPr>
            <w:tcW w:w="6446" w:type="dxa"/>
            <w:vAlign w:val="center"/>
          </w:tcPr>
          <w:p w14:paraId="6C840CD9">
            <w:pPr>
              <w:rPr>
                <w:rFonts w:ascii="仿宋" w:hAnsi="仿宋" w:eastAsia="仿宋" w:cs="仿宋"/>
                <w:sz w:val="28"/>
                <w:szCs w:val="28"/>
              </w:rPr>
            </w:pPr>
            <w:r>
              <w:rPr>
                <w:rFonts w:hint="eastAsia" w:ascii="仿宋" w:hAnsi="仿宋" w:eastAsia="仿宋" w:cs="仿宋"/>
                <w:sz w:val="28"/>
                <w:szCs w:val="28"/>
              </w:rPr>
              <w:t>完全满足无偏离的得35分；</w:t>
            </w:r>
          </w:p>
          <w:p w14:paraId="45773732">
            <w:pPr>
              <w:rPr>
                <w:rFonts w:ascii="仿宋" w:hAnsi="仿宋" w:eastAsia="仿宋" w:cs="仿宋"/>
                <w:sz w:val="28"/>
                <w:szCs w:val="28"/>
              </w:rPr>
            </w:pPr>
            <w:r>
              <w:rPr>
                <w:rFonts w:hint="eastAsia" w:ascii="仿宋" w:hAnsi="仿宋" w:eastAsia="仿宋" w:cs="仿宋"/>
                <w:sz w:val="28"/>
                <w:szCs w:val="28"/>
              </w:rPr>
              <w:t>技术要求劣于院内比选文件要求或未做应答的不足9条的，每出现1条以上情形减3分，最低0分。</w:t>
            </w:r>
          </w:p>
        </w:tc>
        <w:tc>
          <w:tcPr>
            <w:tcW w:w="851" w:type="dxa"/>
            <w:vAlign w:val="center"/>
          </w:tcPr>
          <w:p w14:paraId="0DB7C707">
            <w:pPr>
              <w:rPr>
                <w:rFonts w:ascii="仿宋" w:hAnsi="仿宋" w:eastAsia="仿宋" w:cs="仿宋"/>
                <w:sz w:val="28"/>
                <w:szCs w:val="28"/>
              </w:rPr>
            </w:pPr>
            <w:r>
              <w:rPr>
                <w:rFonts w:hint="eastAsia" w:ascii="仿宋" w:hAnsi="仿宋" w:eastAsia="仿宋" w:cs="仿宋"/>
                <w:sz w:val="28"/>
                <w:szCs w:val="28"/>
              </w:rPr>
              <w:t>35</w:t>
            </w:r>
          </w:p>
        </w:tc>
      </w:tr>
      <w:tr w14:paraId="0727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075" w:type="dxa"/>
            <w:gridSpan w:val="3"/>
            <w:noWrap/>
            <w:vAlign w:val="center"/>
          </w:tcPr>
          <w:p w14:paraId="23FCA703">
            <w:pPr>
              <w:rPr>
                <w:rFonts w:ascii="仿宋" w:hAnsi="仿宋" w:eastAsia="仿宋" w:cs="仿宋"/>
                <w:sz w:val="28"/>
                <w:szCs w:val="28"/>
              </w:rPr>
            </w:pPr>
            <w:r>
              <w:rPr>
                <w:rFonts w:hint="eastAsia" w:ascii="仿宋" w:hAnsi="仿宋" w:eastAsia="仿宋" w:cs="仿宋"/>
                <w:sz w:val="28"/>
                <w:szCs w:val="28"/>
              </w:rPr>
              <w:t>综合得分</w:t>
            </w:r>
          </w:p>
        </w:tc>
        <w:tc>
          <w:tcPr>
            <w:tcW w:w="851" w:type="dxa"/>
            <w:vAlign w:val="center"/>
          </w:tcPr>
          <w:p w14:paraId="2042995E">
            <w:pPr>
              <w:widowControl/>
              <w:snapToGrid w:val="0"/>
              <w:rPr>
                <w:rFonts w:ascii="仿宋" w:hAnsi="仿宋" w:eastAsia="仿宋" w:cs="仿宋"/>
                <w:sz w:val="28"/>
                <w:szCs w:val="28"/>
              </w:rPr>
            </w:pPr>
            <w:r>
              <w:rPr>
                <w:rFonts w:hint="eastAsia" w:ascii="仿宋" w:hAnsi="仿宋" w:eastAsia="仿宋" w:cs="仿宋"/>
                <w:sz w:val="28"/>
                <w:szCs w:val="28"/>
              </w:rPr>
              <w:t>100分</w:t>
            </w:r>
          </w:p>
        </w:tc>
      </w:tr>
    </w:tbl>
    <w:p w14:paraId="61818759">
      <w:pPr>
        <w:pStyle w:val="10"/>
        <w:shd w:val="clear" w:color="auto" w:fill="FFFFFF"/>
        <w:spacing w:before="0" w:beforeAutospacing="0" w:after="0" w:afterAutospacing="0"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备注：评标委员会各评委对有效响应文件按评审标准独立评审打分，投标人商务技术最终得分为各评委个人打分的算术平均值（四舍五入后，小数点后保留两位有效数）</w:t>
      </w:r>
    </w:p>
    <w:p w14:paraId="17EDB576">
      <w:pPr>
        <w:pStyle w:val="3"/>
        <w:numPr>
          <w:ilvl w:val="0"/>
          <w:numId w:val="1"/>
        </w:numPr>
        <w:spacing w:after="0"/>
        <w:ind w:left="-420" w:leftChars="0" w:right="0" w:rightChars="0" w:hanging="6"/>
        <w:rPr>
          <w:rFonts w:ascii="仿宋" w:hAnsi="仿宋" w:eastAsia="仿宋" w:cs="仿宋"/>
          <w:b/>
          <w:sz w:val="28"/>
          <w:szCs w:val="28"/>
        </w:rPr>
      </w:pPr>
      <w:r>
        <w:rPr>
          <w:rFonts w:hint="eastAsia" w:ascii="仿宋" w:hAnsi="仿宋" w:eastAsia="仿宋" w:cs="仿宋"/>
          <w:b/>
          <w:sz w:val="28"/>
          <w:szCs w:val="28"/>
        </w:rPr>
        <w:t>院内比选响应文件内容要求</w:t>
      </w:r>
    </w:p>
    <w:p w14:paraId="31AF46F7">
      <w:pPr>
        <w:snapToGrid w:val="0"/>
        <w:spacing w:after="0" w:line="360" w:lineRule="auto"/>
        <w:ind w:firstLine="560" w:firstLineChars="200"/>
        <w:contextualSpacing/>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院内比选响应文件格式见附件2</w:t>
      </w:r>
    </w:p>
    <w:p w14:paraId="139900ED">
      <w:pPr>
        <w:snapToGrid w:val="0"/>
        <w:spacing w:after="0" w:line="360" w:lineRule="auto"/>
        <w:ind w:left="141" w:leftChars="-202" w:hanging="565" w:hangingChars="201"/>
        <w:contextualSpacing/>
        <w:rPr>
          <w:rFonts w:ascii="仿宋" w:hAnsi="仿宋" w:eastAsia="仿宋" w:cs="仿宋"/>
          <w:b/>
          <w:sz w:val="28"/>
          <w:szCs w:val="28"/>
        </w:rPr>
      </w:pPr>
      <w:r>
        <w:rPr>
          <w:rFonts w:hint="eastAsia" w:ascii="仿宋" w:hAnsi="仿宋" w:eastAsia="仿宋" w:cs="仿宋"/>
          <w:b/>
          <w:sz w:val="28"/>
          <w:szCs w:val="28"/>
        </w:rPr>
        <w:t>十、信息发布方式</w:t>
      </w:r>
    </w:p>
    <w:p w14:paraId="7CAACBF8">
      <w:pPr>
        <w:snapToGrid w:val="0"/>
        <w:spacing w:after="0" w:line="360" w:lineRule="auto"/>
        <w:ind w:left="-4" w:leftChars="-2" w:firstLine="560" w:firstLineChars="200"/>
        <w:contextualSpacing/>
        <w:rPr>
          <w:rFonts w:ascii="仿宋" w:hAnsi="仿宋" w:eastAsia="仿宋" w:cs="仿宋"/>
          <w:color w:val="000000"/>
          <w:sz w:val="28"/>
          <w:szCs w:val="28"/>
          <w:shd w:val="clear" w:color="auto" w:fill="FFFFFF"/>
        </w:rPr>
      </w:pPr>
      <w:r>
        <w:rPr>
          <w:rFonts w:hint="eastAsia" w:ascii="仿宋" w:hAnsi="仿宋" w:eastAsia="仿宋" w:cs="仿宋"/>
          <w:sz w:val="28"/>
          <w:szCs w:val="28"/>
        </w:rPr>
        <w:t>本项目需要公开的有关信息，</w:t>
      </w:r>
      <w:r>
        <w:rPr>
          <w:rFonts w:hint="eastAsia" w:ascii="仿宋" w:hAnsi="仿宋" w:eastAsia="仿宋" w:cs="仿宋"/>
          <w:color w:val="000000"/>
          <w:sz w:val="28"/>
          <w:szCs w:val="28"/>
          <w:shd w:val="clear" w:color="auto" w:fill="FFFFFF"/>
        </w:rPr>
        <w:t>包括公开比选公告、更正公告、比选结果公告、终止公告等与比选活动有关的通知，采购人均将通过“天津市第一中心医院官网（ https://www.tj-fch.com/ ）”公开发布。</w:t>
      </w:r>
    </w:p>
    <w:p w14:paraId="680E598D">
      <w:pPr>
        <w:pStyle w:val="3"/>
        <w:spacing w:after="0"/>
        <w:ind w:left="141" w:leftChars="-202" w:right="0" w:rightChars="0" w:hanging="565" w:hangingChars="201"/>
        <w:rPr>
          <w:rFonts w:ascii="仿宋" w:hAnsi="仿宋" w:eastAsia="仿宋" w:cs="仿宋"/>
          <w:b/>
          <w:sz w:val="28"/>
          <w:szCs w:val="28"/>
        </w:rPr>
      </w:pPr>
      <w:r>
        <w:rPr>
          <w:rFonts w:hint="eastAsia" w:ascii="仿宋" w:hAnsi="仿宋" w:eastAsia="仿宋" w:cs="仿宋"/>
          <w:b/>
          <w:sz w:val="28"/>
          <w:szCs w:val="28"/>
        </w:rPr>
        <w:t>十一、院内比选响应文件递交及现场比选</w:t>
      </w:r>
    </w:p>
    <w:p w14:paraId="6479E857">
      <w:pPr>
        <w:pStyle w:val="8"/>
        <w:numPr>
          <w:ilvl w:val="0"/>
          <w:numId w:val="5"/>
        </w:numPr>
        <w:snapToGrid w:val="0"/>
        <w:spacing w:after="0" w:line="360" w:lineRule="auto"/>
        <w:ind w:left="142" w:firstLine="278" w:firstLineChars="0"/>
        <w:contextualSpacing/>
        <w:rPr>
          <w:rStyle w:val="7"/>
          <w:rFonts w:ascii="仿宋" w:hAnsi="仿宋" w:eastAsia="仿宋" w:cs="仿宋"/>
          <w:sz w:val="28"/>
          <w:szCs w:val="28"/>
          <w:u w:val="none"/>
        </w:rPr>
      </w:pPr>
      <w:r>
        <w:rPr>
          <w:rFonts w:hint="eastAsia" w:ascii="仿宋" w:hAnsi="仿宋" w:eastAsia="仿宋" w:cs="仿宋"/>
          <w:color w:val="000000"/>
          <w:sz w:val="28"/>
          <w:szCs w:val="28"/>
          <w:shd w:val="clear" w:color="auto" w:fill="FFFFFF"/>
        </w:rPr>
        <w:t>院内比选响应文件递交截止时间：</w:t>
      </w:r>
      <w:r>
        <w:rPr>
          <w:rFonts w:hint="eastAsia" w:ascii="仿宋" w:hAnsi="仿宋" w:eastAsia="仿宋" w:cs="仿宋"/>
          <w:color w:val="FF0000"/>
          <w:sz w:val="28"/>
          <w:szCs w:val="28"/>
          <w:shd w:val="clear" w:color="auto" w:fill="FFFFFF"/>
        </w:rPr>
        <w:t xml:space="preserve"> 2026年3月 </w:t>
      </w:r>
      <w:r>
        <w:rPr>
          <w:rFonts w:hint="eastAsia" w:ascii="仿宋" w:hAnsi="仿宋" w:eastAsia="仿宋" w:cs="仿宋"/>
          <w:color w:val="FF0000"/>
          <w:sz w:val="28"/>
          <w:szCs w:val="28"/>
          <w:shd w:val="clear" w:color="auto" w:fill="FFFFFF"/>
          <w:lang w:val="en-US" w:eastAsia="zh-CN"/>
        </w:rPr>
        <w:t>31</w:t>
      </w:r>
      <w:r>
        <w:rPr>
          <w:rFonts w:hint="eastAsia" w:ascii="仿宋" w:hAnsi="仿宋" w:eastAsia="仿宋" w:cs="仿宋"/>
          <w:color w:val="FF0000"/>
          <w:sz w:val="28"/>
          <w:szCs w:val="28"/>
          <w:shd w:val="clear" w:color="auto" w:fill="FFFFFF"/>
        </w:rPr>
        <w:t>日</w:t>
      </w:r>
      <w:r>
        <w:rPr>
          <w:rFonts w:hint="eastAsia" w:ascii="仿宋" w:hAnsi="仿宋" w:eastAsia="仿宋" w:cs="仿宋"/>
          <w:color w:val="000000"/>
          <w:sz w:val="28"/>
          <w:szCs w:val="28"/>
          <w:shd w:val="clear" w:color="auto" w:fill="FFFFFF"/>
        </w:rPr>
        <w:t>（北京时间）。</w:t>
      </w:r>
    </w:p>
    <w:p w14:paraId="03E0A91E">
      <w:pPr>
        <w:pStyle w:val="8"/>
        <w:numPr>
          <w:ilvl w:val="0"/>
          <w:numId w:val="5"/>
        </w:numPr>
        <w:snapToGrid w:val="0"/>
        <w:spacing w:after="0" w:line="360" w:lineRule="auto"/>
        <w:ind w:left="0" w:firstLine="420" w:firstLineChars="0"/>
        <w:contextualSpacing/>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院内比选响应文件递交方式：文件密封后送至天津市第一中心医院（水西院区）设备物资处。</w:t>
      </w:r>
    </w:p>
    <w:p w14:paraId="1F450947">
      <w:pPr>
        <w:pStyle w:val="8"/>
        <w:numPr>
          <w:ilvl w:val="0"/>
          <w:numId w:val="5"/>
        </w:numPr>
        <w:snapToGrid w:val="0"/>
        <w:spacing w:after="0" w:line="360" w:lineRule="auto"/>
        <w:ind w:firstLineChars="0"/>
        <w:contextualSpacing/>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启封院内比选响应文件、现场比选时间：我方将另行告知。</w:t>
      </w:r>
    </w:p>
    <w:p w14:paraId="530E44ED">
      <w:pPr>
        <w:pStyle w:val="8"/>
        <w:numPr>
          <w:ilvl w:val="0"/>
          <w:numId w:val="5"/>
        </w:numPr>
        <w:snapToGrid w:val="0"/>
        <w:spacing w:after="0" w:line="360" w:lineRule="auto"/>
        <w:ind w:firstLineChars="0"/>
        <w:contextualSpacing/>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院内比选地点：天津市第一中心医院（水西院区）E区六楼设备物资处会议室。</w:t>
      </w:r>
    </w:p>
    <w:p w14:paraId="5843D851">
      <w:pPr>
        <w:pStyle w:val="3"/>
        <w:spacing w:after="0"/>
        <w:ind w:left="-424" w:leftChars="-202" w:right="0" w:rightChars="0" w:firstLine="186" w:firstLineChars="66"/>
        <w:rPr>
          <w:rFonts w:ascii="仿宋" w:hAnsi="仿宋" w:eastAsia="仿宋" w:cs="仿宋"/>
          <w:b/>
          <w:sz w:val="28"/>
          <w:szCs w:val="28"/>
        </w:rPr>
      </w:pPr>
      <w:r>
        <w:rPr>
          <w:rFonts w:hint="eastAsia" w:ascii="仿宋" w:hAnsi="仿宋" w:eastAsia="仿宋" w:cs="仿宋"/>
          <w:b/>
          <w:sz w:val="28"/>
          <w:szCs w:val="28"/>
        </w:rPr>
        <w:t>十二、项目联系方式</w:t>
      </w:r>
    </w:p>
    <w:p w14:paraId="126CF6E1">
      <w:pPr>
        <w:snapToGrid w:val="0"/>
        <w:spacing w:after="0" w:line="360" w:lineRule="auto"/>
        <w:ind w:firstLine="560" w:firstLineChars="200"/>
        <w:contextualSpacing/>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1. 政务邮箱： </w:t>
      </w:r>
      <w:r>
        <w:fldChar w:fldCharType="begin"/>
      </w:r>
      <w:r>
        <w:instrText xml:space="preserve"> HYPERLINK "mailto:sdyzxsbwzcsbk@tj.gov.cn" </w:instrText>
      </w:r>
      <w:r>
        <w:fldChar w:fldCharType="separate"/>
      </w:r>
      <w:r>
        <w:rPr>
          <w:rStyle w:val="7"/>
          <w:rFonts w:hint="eastAsia" w:ascii="仿宋" w:hAnsi="仿宋" w:eastAsia="仿宋" w:cs="仿宋"/>
          <w:sz w:val="28"/>
          <w:szCs w:val="28"/>
          <w:shd w:val="clear" w:color="auto" w:fill="FFFFFF"/>
        </w:rPr>
        <w:t>sdyzxsbwzcsbk@tj.gov.cn</w:t>
      </w:r>
      <w:r>
        <w:rPr>
          <w:rStyle w:val="7"/>
          <w:rFonts w:hint="eastAsia" w:ascii="仿宋" w:hAnsi="仿宋" w:eastAsia="仿宋" w:cs="仿宋"/>
          <w:sz w:val="28"/>
          <w:szCs w:val="28"/>
          <w:shd w:val="clear" w:color="auto" w:fill="FFFFFF"/>
        </w:rPr>
        <w:fldChar w:fldCharType="end"/>
      </w:r>
    </w:p>
    <w:p w14:paraId="7EEB244B">
      <w:pPr>
        <w:pStyle w:val="4"/>
        <w:rPr>
          <w:rFonts w:ascii="仿宋" w:hAnsi="仿宋" w:eastAsia="仿宋" w:cs="仿宋"/>
          <w:sz w:val="28"/>
          <w:szCs w:val="28"/>
        </w:rPr>
      </w:pPr>
      <w:r>
        <w:rPr>
          <w:rFonts w:hint="eastAsia" w:ascii="仿宋" w:hAnsi="仿宋" w:eastAsia="仿宋" w:cs="仿宋"/>
          <w:sz w:val="28"/>
          <w:szCs w:val="28"/>
        </w:rPr>
        <w:t xml:space="preserve">    2．地点：天津市西青区保山西道2号</w:t>
      </w:r>
    </w:p>
    <w:p w14:paraId="300EEB7D">
      <w:pPr>
        <w:snapToGrid w:val="0"/>
        <w:spacing w:after="0" w:line="360" w:lineRule="auto"/>
        <w:ind w:firstLine="560" w:firstLineChars="200"/>
        <w:contextualSpacing/>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 联系电话： 022-23628333</w:t>
      </w:r>
    </w:p>
    <w:p w14:paraId="6CD0C86D">
      <w:pPr>
        <w:snapToGrid w:val="0"/>
        <w:spacing w:after="0" w:line="360" w:lineRule="auto"/>
        <w:ind w:firstLine="560" w:firstLineChars="200"/>
        <w:contextualSpacing/>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4. 联系人：翟老师</w:t>
      </w:r>
    </w:p>
    <w:p w14:paraId="182AF9A4">
      <w:pPr>
        <w:snapToGrid w:val="0"/>
        <w:spacing w:line="360" w:lineRule="auto"/>
        <w:ind w:right="210" w:firstLine="560" w:firstLineChars="200"/>
        <w:contextualSpacing/>
        <w:jc w:val="right"/>
        <w:rPr>
          <w:rFonts w:ascii="仿宋" w:hAnsi="仿宋" w:eastAsia="仿宋" w:cs="仿宋"/>
          <w:sz w:val="28"/>
          <w:szCs w:val="28"/>
          <w:shd w:val="clear" w:color="auto" w:fill="FFFFFF"/>
        </w:rPr>
      </w:pPr>
    </w:p>
    <w:p w14:paraId="597EA23A">
      <w:pPr>
        <w:snapToGrid w:val="0"/>
        <w:spacing w:line="360" w:lineRule="auto"/>
        <w:ind w:right="210" w:firstLine="560" w:firstLineChars="200"/>
        <w:contextualSpacing/>
        <w:jc w:val="right"/>
        <w:rPr>
          <w:rFonts w:ascii="仿宋" w:hAnsi="仿宋" w:eastAsia="仿宋" w:cs="仿宋"/>
          <w:sz w:val="28"/>
          <w:szCs w:val="28"/>
          <w:shd w:val="clear" w:color="auto" w:fill="FFFFFF"/>
        </w:rPr>
      </w:pPr>
    </w:p>
    <w:p w14:paraId="4E85B66F">
      <w:pPr>
        <w:snapToGrid w:val="0"/>
        <w:spacing w:line="360" w:lineRule="auto"/>
        <w:ind w:right="210" w:firstLine="560" w:firstLineChars="200"/>
        <w:contextualSpacing/>
        <w:jc w:val="right"/>
        <w:rPr>
          <w:rFonts w:ascii="仿宋" w:hAnsi="仿宋" w:eastAsia="仿宋" w:cs="仿宋"/>
          <w:sz w:val="28"/>
          <w:szCs w:val="28"/>
          <w:shd w:val="clear" w:color="auto" w:fill="FFFFFF"/>
        </w:rPr>
      </w:pPr>
    </w:p>
    <w:p w14:paraId="26D93A88">
      <w:pPr>
        <w:snapToGrid w:val="0"/>
        <w:spacing w:line="360" w:lineRule="auto"/>
        <w:ind w:right="210" w:firstLine="560" w:firstLineChars="200"/>
        <w:contextualSpacing/>
        <w:jc w:val="right"/>
        <w:rPr>
          <w:rFonts w:ascii="仿宋" w:hAnsi="仿宋" w:eastAsia="仿宋" w:cs="仿宋"/>
          <w:sz w:val="28"/>
          <w:szCs w:val="28"/>
          <w:shd w:val="clear" w:color="auto" w:fill="FFFFFF"/>
        </w:rPr>
      </w:pPr>
    </w:p>
    <w:p w14:paraId="6EF131BF">
      <w:pPr>
        <w:snapToGrid w:val="0"/>
        <w:spacing w:line="360" w:lineRule="auto"/>
        <w:ind w:right="735"/>
        <w:contextualSpacing/>
        <w:jc w:val="righ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  天津市第一中心医院</w:t>
      </w:r>
    </w:p>
    <w:p w14:paraId="52B80FE4">
      <w:pPr>
        <w:snapToGrid w:val="0"/>
        <w:spacing w:line="360" w:lineRule="auto"/>
        <w:contextualSpacing/>
        <w:jc w:val="center"/>
        <w:rPr>
          <w:rFonts w:ascii="仿宋" w:hAnsi="仿宋" w:eastAsia="仿宋" w:cs="仿宋"/>
          <w:sz w:val="28"/>
          <w:szCs w:val="28"/>
        </w:rPr>
      </w:pPr>
      <w:r>
        <w:rPr>
          <w:rFonts w:hint="eastAsia" w:ascii="仿宋" w:hAnsi="仿宋" w:eastAsia="仿宋" w:cs="仿宋"/>
          <w:sz w:val="28"/>
          <w:szCs w:val="28"/>
        </w:rPr>
        <w:t xml:space="preserve">                               2026年3月 </w:t>
      </w:r>
      <w:r>
        <w:rPr>
          <w:rFonts w:hint="eastAsia" w:ascii="仿宋" w:hAnsi="仿宋" w:eastAsia="仿宋" w:cs="仿宋"/>
          <w:sz w:val="28"/>
          <w:szCs w:val="28"/>
          <w:lang w:val="en-US" w:eastAsia="zh-CN"/>
        </w:rPr>
        <w:t>23</w:t>
      </w:r>
      <w:r>
        <w:rPr>
          <w:rFonts w:hint="eastAsia" w:ascii="仿宋" w:hAnsi="仿宋" w:eastAsia="仿宋" w:cs="仿宋"/>
          <w:sz w:val="28"/>
          <w:szCs w:val="28"/>
        </w:rPr>
        <w:t>日</w:t>
      </w:r>
    </w:p>
    <w:p w14:paraId="1EEE117E">
      <w:pPr>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09F5EC"/>
    <w:multiLevelType w:val="singleLevel"/>
    <w:tmpl w:val="BE09F5EC"/>
    <w:lvl w:ilvl="0" w:tentative="0">
      <w:start w:val="1"/>
      <w:numFmt w:val="chineseCounting"/>
      <w:suff w:val="nothing"/>
      <w:lvlText w:val="（%1）"/>
      <w:lvlJc w:val="left"/>
      <w:pPr>
        <w:ind w:left="-136" w:firstLine="420"/>
      </w:pPr>
      <w:rPr>
        <w:rFonts w:hint="eastAsia"/>
      </w:rPr>
    </w:lvl>
  </w:abstractNum>
  <w:abstractNum w:abstractNumId="1">
    <w:nsid w:val="005A3D0E"/>
    <w:multiLevelType w:val="multilevel"/>
    <w:tmpl w:val="005A3D0E"/>
    <w:lvl w:ilvl="0" w:tentative="0">
      <w:start w:val="2"/>
      <w:numFmt w:val="decimal"/>
      <w:lvlText w:val="%1."/>
      <w:lvlJc w:val="left"/>
      <w:pPr>
        <w:ind w:left="502" w:hanging="36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
    <w:nsid w:val="1E706897"/>
    <w:multiLevelType w:val="multilevel"/>
    <w:tmpl w:val="1E706897"/>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A8717DD"/>
    <w:multiLevelType w:val="multilevel"/>
    <w:tmpl w:val="3A8717DD"/>
    <w:lvl w:ilvl="0" w:tentative="0">
      <w:start w:val="1"/>
      <w:numFmt w:val="decimal"/>
      <w:lvlText w:val="%1."/>
      <w:lvlJc w:val="left"/>
      <w:pPr>
        <w:ind w:left="780" w:hanging="360"/>
      </w:pPr>
      <w:rPr>
        <w:rFonts w:hint="default" w:cs="Times New Roman"/>
        <w:color w:val="00000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B4828BE"/>
    <w:multiLevelType w:val="singleLevel"/>
    <w:tmpl w:val="3B4828BE"/>
    <w:lvl w:ilvl="0" w:tentative="0">
      <w:start w:val="1"/>
      <w:numFmt w:val="chineseCounting"/>
      <w:suff w:val="nothing"/>
      <w:lvlText w:val="%1、"/>
      <w:lvlJc w:val="left"/>
      <w:pPr>
        <w:ind w:left="6" w:firstLine="420"/>
      </w:pPr>
      <w:rPr>
        <w:rFonts w:hint="eastAsia"/>
        <w:lang w:val="en-US"/>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B076B"/>
    <w:rsid w:val="00440B55"/>
    <w:rsid w:val="005B3C24"/>
    <w:rsid w:val="00600B13"/>
    <w:rsid w:val="009B2F0B"/>
    <w:rsid w:val="009F205A"/>
    <w:rsid w:val="00BC52ED"/>
    <w:rsid w:val="00D35E53"/>
    <w:rsid w:val="00F432AA"/>
    <w:rsid w:val="0A762E91"/>
    <w:rsid w:val="1DB122E7"/>
    <w:rsid w:val="212152E8"/>
    <w:rsid w:val="23DA1C5E"/>
    <w:rsid w:val="24323971"/>
    <w:rsid w:val="292F2731"/>
    <w:rsid w:val="2C5900B0"/>
    <w:rsid w:val="2E576FE5"/>
    <w:rsid w:val="373F6235"/>
    <w:rsid w:val="37D72911"/>
    <w:rsid w:val="3816737C"/>
    <w:rsid w:val="39167469"/>
    <w:rsid w:val="3F740A45"/>
    <w:rsid w:val="43D61CCF"/>
    <w:rsid w:val="448654A3"/>
    <w:rsid w:val="45A831F7"/>
    <w:rsid w:val="46ED7A5B"/>
    <w:rsid w:val="485F5820"/>
    <w:rsid w:val="4BC774AF"/>
    <w:rsid w:val="516B614C"/>
    <w:rsid w:val="53715570"/>
    <w:rsid w:val="5A1B076B"/>
    <w:rsid w:val="5B174C4F"/>
    <w:rsid w:val="5D861C18"/>
    <w:rsid w:val="65E120E1"/>
    <w:rsid w:val="66051090"/>
    <w:rsid w:val="66340167"/>
    <w:rsid w:val="68685BD7"/>
    <w:rsid w:val="69393200"/>
    <w:rsid w:val="6E773A80"/>
    <w:rsid w:val="70A4425D"/>
    <w:rsid w:val="7A804167"/>
    <w:rsid w:val="7CAA2BA7"/>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keepLines/>
      <w:spacing w:line="720" w:lineRule="auto"/>
      <w:jc w:val="center"/>
      <w:outlineLvl w:val="0"/>
    </w:pPr>
    <w:rPr>
      <w:b/>
      <w:bCs/>
      <w:kern w:val="44"/>
      <w:sz w:val="28"/>
      <w:szCs w:val="44"/>
    </w:rPr>
  </w:style>
  <w:style w:type="paragraph" w:styleId="3">
    <w:name w:val="heading 2"/>
    <w:basedOn w:val="1"/>
    <w:qFormat/>
    <w:uiPriority w:val="0"/>
    <w:pPr>
      <w:keepNext/>
      <w:keepLines/>
      <w:spacing w:line="360" w:lineRule="auto"/>
      <w:ind w:left="100" w:leftChars="100" w:right="100" w:rightChars="100"/>
      <w:jc w:val="left"/>
      <w:outlineLvl w:val="1"/>
    </w:pPr>
    <w:rPr>
      <w:rFonts w:ascii="Arial" w:hAnsi="Arial"/>
      <w:sz w:val="24"/>
      <w:szCs w:val="20"/>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style>
  <w:style w:type="character" w:styleId="7">
    <w:name w:val="Hyperlink"/>
    <w:qFormat/>
    <w:uiPriority w:val="99"/>
    <w:rPr>
      <w:color w:val="0000FF"/>
      <w:u w:val="single"/>
    </w:rPr>
  </w:style>
  <w:style w:type="paragraph" w:styleId="8">
    <w:name w:val="List Paragraph"/>
    <w:basedOn w:val="1"/>
    <w:qFormat/>
    <w:uiPriority w:val="34"/>
    <w:pPr>
      <w:ind w:firstLine="420" w:firstLineChars="200"/>
    </w:pPr>
  </w:style>
  <w:style w:type="character" w:customStyle="1" w:styleId="9">
    <w:name w:val="页码1"/>
    <w:autoRedefine/>
    <w:qFormat/>
    <w:uiPriority w:val="0"/>
    <w:rPr>
      <w:lang w:val="zh-TW" w:eastAsia="zh-TW"/>
    </w:rPr>
  </w:style>
  <w:style w:type="paragraph" w:customStyle="1" w:styleId="10">
    <w:name w:val="16"/>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1586</Words>
  <Characters>1717</Characters>
  <Lines>21</Lines>
  <Paragraphs>5</Paragraphs>
  <TotalTime>341</TotalTime>
  <ScaleCrop>false</ScaleCrop>
  <LinksUpToDate>false</LinksUpToDate>
  <CharactersWithSpaces>1719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2025-11-18T01:22:00Z</dcterms:created>
  <dc:creator>Baymax</dc:creator>
  <cp:lastModifiedBy>Baymax</cp:lastModifiedBy>
  <dcterms:modified xsi:type="dcterms:W3CDTF">2026-03-18T07:26:58Z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A90A7D1BE5AF4900A48608E772901839_13</vt:lpwstr>
  </property>
  <property fmtid="{D5CDD505-2E9C-101B-9397-08002B2CF9AE}" pid="4" name="KSOTemplateDocerSaveRecord">
    <vt:lpwstr>eyJoZGlkIjoiYTZiNDkyZWExYzc5MTE2OTdhMWUyY2QzYWY2M2QwMmUiLCJ1c2VySWQiOiIzNTgyNTU3MDcifQ==</vt:lpwstr>
  </property>
</Properties>
</file>