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10478">
      <w:pPr>
        <w:pageBreakBefore w:val="0"/>
        <w:tabs>
          <w:tab w:val="left" w:pos="360"/>
        </w:tabs>
        <w:kinsoku/>
        <w:wordWrap/>
        <w:overflowPunct/>
        <w:topLinePunct w:val="0"/>
        <w:bidi w:val="0"/>
        <w:spacing w:before="100" w:beforeAutospacing="1" w:after="100" w:afterAutospacing="1" w:line="360" w:lineRule="auto"/>
        <w:textAlignment w:val="auto"/>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附件1</w:t>
      </w:r>
    </w:p>
    <w:p w14:paraId="5FD3121B">
      <w:pPr>
        <w:pStyle w:val="4"/>
        <w:pageBreakBefore w:val="0"/>
        <w:kinsoku/>
        <w:wordWrap/>
        <w:overflowPunct/>
        <w:topLinePunct w:val="0"/>
        <w:bidi w:val="0"/>
        <w:spacing w:before="100" w:beforeAutospacing="1" w:after="100" w:afterAutospacing="1" w:line="360" w:lineRule="auto"/>
        <w:contextualSpacing/>
        <w:textAlignment w:val="auto"/>
        <w:rPr>
          <w:rFonts w:hint="eastAsia" w:ascii="Times New Roman" w:hAnsi="Times New Roman" w:eastAsia="黑体" w:cs="黑体"/>
          <w:b w:val="0"/>
          <w:bCs w:val="0"/>
          <w:sz w:val="36"/>
          <w:szCs w:val="36"/>
        </w:rPr>
      </w:pPr>
      <w:r>
        <w:rPr>
          <w:rFonts w:hint="eastAsia" w:ascii="Times New Roman" w:hAnsi="Times New Roman" w:eastAsia="黑体" w:cs="黑体"/>
          <w:b w:val="0"/>
          <w:bCs w:val="0"/>
          <w:sz w:val="36"/>
          <w:szCs w:val="36"/>
        </w:rPr>
        <w:t>天津市第一中心医院</w:t>
      </w:r>
    </w:p>
    <w:p w14:paraId="6D9DE3AF">
      <w:pPr>
        <w:pStyle w:val="4"/>
        <w:pageBreakBefore w:val="0"/>
        <w:kinsoku/>
        <w:wordWrap/>
        <w:overflowPunct/>
        <w:topLinePunct w:val="0"/>
        <w:bidi w:val="0"/>
        <w:spacing w:before="100" w:beforeAutospacing="1" w:after="100" w:afterAutospacing="1" w:line="360" w:lineRule="auto"/>
        <w:contextualSpacing/>
        <w:textAlignment w:val="auto"/>
        <w:rPr>
          <w:rFonts w:ascii="Times New Roman" w:hAnsi="Times New Roman" w:cstheme="minorEastAsia"/>
          <w:color w:val="auto"/>
          <w:sz w:val="21"/>
          <w:szCs w:val="21"/>
        </w:rPr>
      </w:pPr>
      <w:r>
        <w:rPr>
          <w:rFonts w:hint="eastAsia" w:eastAsia="黑体" w:cs="黑体"/>
          <w:b w:val="0"/>
          <w:bCs w:val="0"/>
          <w:sz w:val="36"/>
          <w:szCs w:val="36"/>
          <w:lang w:eastAsia="zh-CN"/>
        </w:rPr>
        <w:t>纪检宣传视频拍摄及制作服务项目</w:t>
      </w:r>
      <w:r>
        <w:rPr>
          <w:rFonts w:hint="eastAsia" w:ascii="Times New Roman" w:hAnsi="Times New Roman" w:eastAsia="黑体" w:cs="黑体"/>
          <w:b w:val="0"/>
          <w:bCs w:val="0"/>
          <w:sz w:val="36"/>
          <w:szCs w:val="36"/>
        </w:rPr>
        <w:t>院内比选文件</w:t>
      </w:r>
    </w:p>
    <w:p w14:paraId="6137BE5F">
      <w:pPr>
        <w:pageBreakBefore w:val="0"/>
        <w:kinsoku/>
        <w:wordWrap/>
        <w:overflowPunct/>
        <w:topLinePunct w:val="0"/>
        <w:bidi w:val="0"/>
        <w:snapToGrid w:val="0"/>
        <w:spacing w:before="100" w:beforeAutospacing="1" w:after="100" w:afterAutospacing="1" w:line="360" w:lineRule="auto"/>
        <w:ind w:firstLine="480" w:firstLineChars="200"/>
        <w:contextualSpacing/>
        <w:textAlignment w:val="auto"/>
        <w:rPr>
          <w:rFonts w:hint="eastAsia" w:ascii="Times New Roman" w:hAnsi="Times New Roman" w:eastAsia="宋体" w:cstheme="minorEastAsia"/>
          <w:color w:val="000000" w:themeColor="text1"/>
          <w:sz w:val="24"/>
          <w:szCs w:val="24"/>
          <w14:textFill>
            <w14:solidFill>
              <w14:schemeClr w14:val="tx1"/>
            </w14:solidFill>
          </w14:textFill>
        </w:rPr>
      </w:pPr>
      <w:r>
        <w:rPr>
          <w:rFonts w:hint="eastAsia" w:ascii="Times New Roman" w:hAnsi="Times New Roman" w:eastAsia="宋体" w:cstheme="minorEastAsia"/>
          <w:color w:val="000000" w:themeColor="text1"/>
          <w:sz w:val="24"/>
          <w:szCs w:val="24"/>
          <w14:textFill>
            <w14:solidFill>
              <w14:schemeClr w14:val="tx1"/>
            </w14:solidFill>
          </w14:textFill>
        </w:rPr>
        <w:t>天津市第一中心医院以院内比选方式</w:t>
      </w:r>
      <w:r>
        <w:rPr>
          <w:rFonts w:hint="eastAsia" w:ascii="Times New Roman" w:hAnsi="Times New Roman" w:eastAsia="宋体" w:cstheme="minorEastAsia"/>
          <w:color w:val="000000" w:themeColor="text1"/>
          <w:sz w:val="24"/>
          <w:szCs w:val="24"/>
          <w:lang w:eastAsia="zh-CN"/>
          <w14:textFill>
            <w14:solidFill>
              <w14:schemeClr w14:val="tx1"/>
            </w14:solidFill>
          </w14:textFill>
        </w:rPr>
        <w:t>，对</w:t>
      </w:r>
      <w:r>
        <w:rPr>
          <w:rFonts w:hint="eastAsia" w:cstheme="minorEastAsia"/>
          <w:color w:val="000000" w:themeColor="text1"/>
          <w:sz w:val="24"/>
          <w:szCs w:val="24"/>
          <w:lang w:eastAsia="zh-CN"/>
          <w14:textFill>
            <w14:solidFill>
              <w14:schemeClr w14:val="tx1"/>
            </w14:solidFill>
          </w14:textFill>
        </w:rPr>
        <w:t>纪检宣传视频拍摄及制作服务项目</w:t>
      </w:r>
      <w:r>
        <w:rPr>
          <w:rFonts w:hint="eastAsia" w:ascii="Times New Roman" w:hAnsi="Times New Roman" w:eastAsia="宋体" w:cstheme="minorEastAsia"/>
          <w:color w:val="000000" w:themeColor="text1"/>
          <w:sz w:val="24"/>
          <w:szCs w:val="24"/>
          <w14:textFill>
            <w14:solidFill>
              <w14:schemeClr w14:val="tx1"/>
            </w14:solidFill>
          </w14:textFill>
        </w:rPr>
        <w:t>实施采购，采用综合评分法，选取一名</w:t>
      </w:r>
      <w:r>
        <w:rPr>
          <w:rFonts w:hint="eastAsia" w:cstheme="minorEastAsia"/>
          <w:color w:val="000000" w:themeColor="text1"/>
          <w:sz w:val="24"/>
          <w:szCs w:val="24"/>
          <w:lang w:eastAsia="zh-CN"/>
          <w14:textFill>
            <w14:solidFill>
              <w14:schemeClr w14:val="tx1"/>
            </w14:solidFill>
          </w14:textFill>
        </w:rPr>
        <w:t>服务</w:t>
      </w:r>
      <w:r>
        <w:rPr>
          <w:rFonts w:hint="eastAsia" w:ascii="Times New Roman" w:hAnsi="Times New Roman" w:eastAsia="宋体" w:cstheme="minorEastAsia"/>
          <w:color w:val="000000" w:themeColor="text1"/>
          <w:sz w:val="24"/>
          <w:szCs w:val="24"/>
          <w14:textFill>
            <w14:solidFill>
              <w14:schemeClr w14:val="tx1"/>
            </w14:solidFill>
          </w14:textFill>
        </w:rPr>
        <w:t>商。</w:t>
      </w:r>
    </w:p>
    <w:p w14:paraId="2181CEB8">
      <w:pPr>
        <w:pStyle w:val="5"/>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项目名称及编号</w:t>
      </w:r>
    </w:p>
    <w:p w14:paraId="0CFB1A7B">
      <w:pPr>
        <w:keepNext w:val="0"/>
        <w:keepLines w:val="0"/>
        <w:pageBreakBefore w:val="0"/>
        <w:widowControl w:val="0"/>
        <w:numPr>
          <w:ilvl w:val="0"/>
          <w:numId w:val="2"/>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项目名称：天津市第一中心医院2026年纪检宣传视频拍摄及制作服务。</w:t>
      </w:r>
    </w:p>
    <w:p w14:paraId="6F39888F">
      <w:pPr>
        <w:keepNext w:val="0"/>
        <w:keepLines w:val="0"/>
        <w:pageBreakBefore w:val="0"/>
        <w:widowControl w:val="0"/>
        <w:numPr>
          <w:ilvl w:val="0"/>
          <w:numId w:val="2"/>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项目编号：</w:t>
      </w:r>
      <w:r>
        <w:rPr>
          <w:rFonts w:hint="eastAsia" w:cs="等线"/>
          <w:color w:val="000000"/>
          <w:sz w:val="24"/>
          <w:szCs w:val="24"/>
          <w:lang w:val="en-US" w:eastAsia="zh-CN"/>
        </w:rPr>
        <w:t>YNBX-2026-G-6001</w:t>
      </w:r>
      <w:r>
        <w:rPr>
          <w:rFonts w:hint="eastAsia" w:ascii="Times New Roman" w:hAnsi="Times New Roman" w:eastAsia="宋体" w:cs="等线"/>
          <w:color w:val="000000"/>
          <w:sz w:val="24"/>
          <w:szCs w:val="24"/>
          <w:lang w:val="en-US" w:eastAsia="zh-CN"/>
        </w:rPr>
        <w:t>。</w:t>
      </w:r>
    </w:p>
    <w:p w14:paraId="4DE03AA0">
      <w:pPr>
        <w:keepNext w:val="0"/>
        <w:keepLines w:val="0"/>
        <w:pageBreakBefore w:val="0"/>
        <w:widowControl w:val="0"/>
        <w:numPr>
          <w:ilvl w:val="0"/>
          <w:numId w:val="2"/>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招标单位：天津市第一中心医院</w:t>
      </w:r>
    </w:p>
    <w:p w14:paraId="6B8A9E29">
      <w:pPr>
        <w:keepNext w:val="0"/>
        <w:keepLines w:val="0"/>
        <w:pageBreakBefore w:val="0"/>
        <w:widowControl w:val="0"/>
        <w:numPr>
          <w:ilvl w:val="0"/>
          <w:numId w:val="2"/>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项目预算：本项目最高限价为25000元（人民币），投标报价超过此预算的，视为无效投标。</w:t>
      </w:r>
    </w:p>
    <w:p w14:paraId="57E241C4">
      <w:pPr>
        <w:keepNext w:val="0"/>
        <w:keepLines w:val="0"/>
        <w:pageBreakBefore w:val="0"/>
        <w:widowControl w:val="0"/>
        <w:numPr>
          <w:ilvl w:val="0"/>
          <w:numId w:val="2"/>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000000"/>
          <w:sz w:val="24"/>
          <w:szCs w:val="24"/>
          <w:lang w:val="en-US" w:eastAsia="zh-CN"/>
        </w:rPr>
        <w:t>服</w:t>
      </w:r>
      <w:r>
        <w:rPr>
          <w:rFonts w:hint="eastAsia" w:ascii="Times New Roman" w:hAnsi="Times New Roman" w:eastAsia="宋体" w:cs="等线"/>
          <w:color w:val="auto"/>
          <w:sz w:val="24"/>
          <w:szCs w:val="24"/>
          <w:lang w:val="en-US" w:eastAsia="zh-CN"/>
        </w:rPr>
        <w:t>务内容：完成1条纪检主题宣传视频的策划、拍摄、后期制作等全流程服务。（单条视频时长不少于3分钟）。</w:t>
      </w:r>
    </w:p>
    <w:p w14:paraId="58ABFB2C">
      <w:pPr>
        <w:pStyle w:val="5"/>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采购需求</w:t>
      </w:r>
    </w:p>
    <w:p w14:paraId="45C9B949">
      <w:pPr>
        <w:keepNext/>
        <w:keepLines/>
        <w:pageBreakBefore w:val="0"/>
        <w:widowControl w:val="0"/>
        <w:numPr>
          <w:ilvl w:val="0"/>
          <w:numId w:val="0"/>
        </w:numPr>
        <w:kinsoku/>
        <w:wordWrap/>
        <w:overflowPunct/>
        <w:topLinePunct w:val="0"/>
        <w:autoSpaceDE/>
        <w:autoSpaceDN/>
        <w:bidi w:val="0"/>
        <w:adjustRightInd/>
        <w:snapToGrid/>
        <w:spacing w:beforeAutospacing="0" w:after="120" w:afterAutospacing="0" w:line="360" w:lineRule="auto"/>
        <w:ind w:left="100" w:leftChars="0" w:right="0" w:rightChars="0"/>
        <w:jc w:val="left"/>
        <w:textAlignment w:val="auto"/>
        <w:outlineLvl w:val="1"/>
        <w:rPr>
          <w:rFonts w:hint="eastAsia" w:ascii="宋体" w:hAnsi="宋体" w:eastAsia="宋体" w:cs="Times New Roman"/>
          <w:b/>
          <w:color w:val="auto"/>
          <w:kern w:val="2"/>
          <w:sz w:val="24"/>
          <w:szCs w:val="24"/>
          <w:lang w:val="en-US" w:eastAsia="zh-CN" w:bidi="ar-SA"/>
        </w:rPr>
      </w:pPr>
      <w:bookmarkStart w:id="0" w:name="OLE_LINK16"/>
      <w:bookmarkStart w:id="1" w:name="_Toc537"/>
      <w:bookmarkStart w:id="2" w:name="OLE_LINK19"/>
      <w:r>
        <w:rPr>
          <w:rFonts w:hint="eastAsia" w:ascii="宋体" w:hAnsi="宋体" w:eastAsia="宋体" w:cs="Times New Roman"/>
          <w:b/>
          <w:color w:val="auto"/>
          <w:kern w:val="2"/>
          <w:sz w:val="24"/>
          <w:szCs w:val="24"/>
          <w:lang w:val="en-US" w:eastAsia="zh-CN" w:bidi="ar-SA"/>
        </w:rPr>
        <w:t>（一）视频</w:t>
      </w:r>
      <w:r>
        <w:rPr>
          <w:rFonts w:hint="eastAsia" w:ascii="宋体" w:hAnsi="宋体" w:cs="Times New Roman"/>
          <w:b/>
          <w:color w:val="auto"/>
          <w:kern w:val="2"/>
          <w:sz w:val="24"/>
          <w:szCs w:val="24"/>
          <w:lang w:val="en-US" w:eastAsia="zh-CN" w:bidi="ar-SA"/>
        </w:rPr>
        <w:t>技术</w:t>
      </w:r>
      <w:r>
        <w:rPr>
          <w:rFonts w:hint="eastAsia" w:ascii="宋体" w:hAnsi="宋体" w:eastAsia="宋体" w:cs="Times New Roman"/>
          <w:b/>
          <w:color w:val="auto"/>
          <w:kern w:val="2"/>
          <w:sz w:val="24"/>
          <w:szCs w:val="24"/>
          <w:lang w:val="en-US" w:eastAsia="zh-CN" w:bidi="ar-SA"/>
        </w:rPr>
        <w:t>要求</w:t>
      </w:r>
    </w:p>
    <w:p w14:paraId="66A96A79">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 主题定位：围绕医院纪检监察工作，突出廉洁行医、纪律建设、作风整治等核心主题，传递医院全面从严治党、强化监督执纪的工作理念，内容需积极正面、导向正确，符合医院纪检宣传工作要求。</w:t>
      </w:r>
    </w:p>
    <w:p w14:paraId="0ADC5DAB">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 时长规格：单条视频成品时长不少于</w:t>
      </w:r>
      <w:r>
        <w:rPr>
          <w:rFonts w:hint="eastAsia" w:ascii="Times New Roman" w:hAnsi="Times New Roman" w:cs="Times New Roman"/>
          <w:color w:val="auto"/>
          <w:kern w:val="0"/>
          <w:sz w:val="24"/>
          <w:szCs w:val="24"/>
          <w:lang w:val="en-US" w:eastAsia="zh-CN" w:bidi="ar-SA"/>
        </w:rPr>
        <w:t>3</w:t>
      </w:r>
      <w:r>
        <w:rPr>
          <w:rFonts w:hint="eastAsia" w:ascii="Times New Roman" w:hAnsi="Times New Roman" w:eastAsia="宋体" w:cs="Times New Roman"/>
          <w:color w:val="auto"/>
          <w:kern w:val="0"/>
          <w:sz w:val="24"/>
          <w:szCs w:val="24"/>
          <w:lang w:val="en-US" w:eastAsia="zh-CN" w:bidi="ar-SA"/>
        </w:rPr>
        <w:t>分钟</w:t>
      </w:r>
      <w:r>
        <w:rPr>
          <w:rFonts w:hint="eastAsia" w:ascii="Times New Roman" w:hAnsi="Times New Roman" w:cs="Times New Roman"/>
          <w:color w:val="auto"/>
          <w:kern w:val="0"/>
          <w:sz w:val="24"/>
          <w:szCs w:val="24"/>
          <w:lang w:val="en-US" w:eastAsia="zh-CN" w:bidi="ar-SA"/>
        </w:rPr>
        <w:t>。</w:t>
      </w:r>
    </w:p>
    <w:p w14:paraId="31AC1B5C">
      <w:pPr>
        <w:keepNext w:val="0"/>
        <w:keepLines w:val="0"/>
        <w:pageBreakBefore w:val="0"/>
        <w:widowControl w:val="0"/>
        <w:numPr>
          <w:ilvl w:val="0"/>
          <w:numId w:val="3"/>
        </w:numPr>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视频分辨率不低于1080P（高清）</w:t>
      </w:r>
      <w:r>
        <w:rPr>
          <w:rFonts w:hint="eastAsia" w:ascii="Times New Roman" w:hAnsi="Times New Roman" w:cs="Times New Roman"/>
          <w:color w:val="auto"/>
          <w:kern w:val="0"/>
          <w:sz w:val="24"/>
          <w:szCs w:val="24"/>
          <w:lang w:val="en-US" w:eastAsia="zh-CN" w:bidi="ar-SA"/>
        </w:rPr>
        <w:t>。</w:t>
      </w:r>
    </w:p>
    <w:p w14:paraId="5AADB357">
      <w:pPr>
        <w:keepNext w:val="0"/>
        <w:keepLines w:val="0"/>
        <w:pageBreakBefore w:val="0"/>
        <w:widowControl w:val="0"/>
        <w:numPr>
          <w:ilvl w:val="0"/>
          <w:numId w:val="3"/>
        </w:numPr>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画幅比例16:9，视频格式为MP4或MOV，确保画面清晰、色彩协调</w:t>
      </w:r>
      <w:r>
        <w:rPr>
          <w:rFonts w:hint="eastAsia" w:ascii="Times New Roman" w:hAnsi="Times New Roman" w:cs="Times New Roman"/>
          <w:color w:val="auto"/>
          <w:kern w:val="0"/>
          <w:sz w:val="24"/>
          <w:szCs w:val="24"/>
          <w:lang w:val="en-US" w:eastAsia="zh-CN" w:bidi="ar-SA"/>
        </w:rPr>
        <w:t>。</w:t>
      </w:r>
    </w:p>
    <w:p w14:paraId="2178B06D">
      <w:pPr>
        <w:keepNext w:val="0"/>
        <w:keepLines w:val="0"/>
        <w:pageBreakBefore w:val="0"/>
        <w:widowControl w:val="0"/>
        <w:numPr>
          <w:ilvl w:val="0"/>
          <w:numId w:val="3"/>
        </w:numPr>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可满足院内播放、学习强国官方平台发布等多场景使用需求。</w:t>
      </w:r>
    </w:p>
    <w:p w14:paraId="721F16FD">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p>
    <w:p w14:paraId="7BD45458">
      <w:pPr>
        <w:keepNext/>
        <w:keepLines/>
        <w:pageBreakBefore w:val="0"/>
        <w:widowControl w:val="0"/>
        <w:numPr>
          <w:ilvl w:val="0"/>
          <w:numId w:val="0"/>
        </w:numPr>
        <w:kinsoku/>
        <w:wordWrap/>
        <w:overflowPunct/>
        <w:topLinePunct w:val="0"/>
        <w:autoSpaceDE/>
        <w:autoSpaceDN/>
        <w:bidi w:val="0"/>
        <w:adjustRightInd/>
        <w:snapToGrid/>
        <w:spacing w:beforeAutospacing="0" w:after="120" w:afterAutospacing="0" w:line="360" w:lineRule="auto"/>
        <w:ind w:left="100" w:leftChars="0" w:right="0" w:rightChars="0"/>
        <w:jc w:val="left"/>
        <w:textAlignment w:val="auto"/>
        <w:outlineLvl w:val="1"/>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（二）服务要求</w:t>
      </w:r>
    </w:p>
    <w:p w14:paraId="17F6C0F0">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 前期沟通：中标单位需主动与医院纪检部门对接，深入理解宣传需求，提交详细的创意策划方案及分镜脚本，经医院审核确认后启动拍摄工作。</w:t>
      </w:r>
    </w:p>
    <w:p w14:paraId="39518B13">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 拍摄实施：拍摄团队需具备专业资质，使用专业拍摄设备（摄像机、灯光、收音设备等），拍摄过程需遵守医院规章制度，合理安排拍摄时间，减少对医院正常诊疗工作的影响。</w:t>
      </w:r>
    </w:p>
    <w:p w14:paraId="34F8ABE5">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3. 后期修改：后期制作完成后提交初版视频，医院可提出合理修改意见，直至最终验收合格。</w:t>
      </w:r>
    </w:p>
    <w:p w14:paraId="596E5B18">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4. 交付时限：自合同签订且脚本确认后10个工作日内完成全部制作工作并交付成品及相关源文件（含拍摄素材、剪辑工程文件等）。</w:t>
      </w:r>
    </w:p>
    <w:p w14:paraId="0D417624">
      <w:pPr>
        <w:keepNext/>
        <w:keepLines/>
        <w:pageBreakBefore w:val="0"/>
        <w:widowControl w:val="0"/>
        <w:numPr>
          <w:ilvl w:val="0"/>
          <w:numId w:val="0"/>
        </w:numPr>
        <w:kinsoku/>
        <w:wordWrap/>
        <w:overflowPunct/>
        <w:topLinePunct w:val="0"/>
        <w:autoSpaceDE/>
        <w:autoSpaceDN/>
        <w:bidi w:val="0"/>
        <w:adjustRightInd/>
        <w:snapToGrid/>
        <w:spacing w:beforeAutospacing="0" w:after="120" w:afterAutospacing="0" w:line="360" w:lineRule="auto"/>
        <w:ind w:left="100" w:leftChars="0" w:right="0" w:rightChars="0"/>
        <w:jc w:val="left"/>
        <w:textAlignment w:val="auto"/>
        <w:outlineLvl w:val="1"/>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（三）其他要求</w:t>
      </w:r>
    </w:p>
    <w:p w14:paraId="689CC8AD">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 知识产权：项目完成后，所有视频成品、源文件及相关素材的知识产权归天津市第一中心医院所有，中标单位需保证所提供的服务及成果不侵犯任何第三方知识产权，若产生相关纠纷，由中标单位承担全部责任。</w:t>
      </w:r>
    </w:p>
    <w:p w14:paraId="7BDCF460">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 保密要求：中标单位需对拍摄制作过程中接触到的医院内部信息、工作资料等严格保密，不得擅自泄露或用于其他用途。</w:t>
      </w:r>
    </w:p>
    <w:bookmarkEnd w:id="0"/>
    <w:bookmarkEnd w:id="1"/>
    <w:bookmarkEnd w:id="2"/>
    <w:p w14:paraId="3E32F393">
      <w:pPr>
        <w:pStyle w:val="5"/>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投标人实质性资格要求</w:t>
      </w:r>
    </w:p>
    <w:p w14:paraId="0F898EF9">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bookmarkStart w:id="3" w:name="_Toc26998"/>
      <w:bookmarkStart w:id="4" w:name="_Toc11335"/>
      <w:r>
        <w:rPr>
          <w:rFonts w:hint="eastAsia" w:ascii="Times New Roman" w:hAnsi="Times New Roman" w:eastAsia="宋体" w:cs="Times New Roman"/>
          <w:color w:val="auto"/>
          <w:kern w:val="0"/>
          <w:sz w:val="24"/>
          <w:szCs w:val="24"/>
          <w:lang w:val="en-US" w:eastAsia="zh-CN" w:bidi="ar-SA"/>
        </w:rPr>
        <w:t>1. 具有独立法人资格，持有有效的营业执照，经营范围包含摄影及视频制作服务等相关服务内容。</w:t>
      </w:r>
    </w:p>
    <w:p w14:paraId="5D743E96">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 近3年内在经营活动中无重大违法记录，无不良信用记录。</w:t>
      </w:r>
    </w:p>
    <w:p w14:paraId="21B027CD">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3. 本项目不接受联合体投标。</w:t>
      </w:r>
    </w:p>
    <w:p w14:paraId="4FFE06F9">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*以上内容均需加盖公章</w:t>
      </w:r>
    </w:p>
    <w:p w14:paraId="6BB8B3D3">
      <w:pPr>
        <w:keepNext/>
        <w:keepLines/>
        <w:pageBreakBefore w:val="0"/>
        <w:widowControl w:val="0"/>
        <w:numPr>
          <w:ilvl w:val="0"/>
          <w:numId w:val="1"/>
        </w:numPr>
        <w:kinsoku/>
        <w:wordWrap/>
        <w:overflowPunct/>
        <w:topLinePunct w:val="0"/>
        <w:bidi w:val="0"/>
        <w:spacing w:before="100" w:beforeAutospacing="1" w:after="100" w:afterAutospacing="1" w:line="360" w:lineRule="auto"/>
        <w:ind w:left="100" w:leftChars="0" w:right="0" w:rightChars="0" w:hanging="6"/>
        <w:jc w:val="left"/>
        <w:textAlignment w:val="auto"/>
        <w:outlineLvl w:val="1"/>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报价要求</w:t>
      </w:r>
    </w:p>
    <w:p w14:paraId="79E42E1C">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 报价方式：本项目采用总价报价方式，报价需包含完成本项目所需的全部费用，包括但不限于策划费、脚本撰写费、设备租赁费、拍摄费、后期制作费、配音费、税费及后续修改服务费等，医院不再额外支付任何其他费用。</w:t>
      </w:r>
    </w:p>
    <w:p w14:paraId="6BD45C2D">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 报价文件：报价单需加盖投标单位公章，明确总报价金额、报价有效期及付款方式建议，随其他投标材料一并提交。</w:t>
      </w:r>
    </w:p>
    <w:p w14:paraId="583406A9">
      <w:pPr>
        <w:pStyle w:val="5"/>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评标方法及评审因素与标准</w:t>
      </w:r>
      <w:bookmarkEnd w:id="3"/>
      <w:bookmarkEnd w:id="4"/>
    </w:p>
    <w:p w14:paraId="52341FD1">
      <w:pPr>
        <w:widowControl w:val="0"/>
        <w:numPr>
          <w:ilvl w:val="0"/>
          <w:numId w:val="4"/>
        </w:numPr>
        <w:autoSpaceDE w:val="0"/>
        <w:autoSpaceDN w:val="0"/>
        <w:adjustRightInd w:val="0"/>
        <w:spacing w:after="120" w:line="360" w:lineRule="auto"/>
        <w:jc w:val="both"/>
        <w:rPr>
          <w:rFonts w:hint="eastAsia"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采用“综合评分法”的评标方法</w:t>
      </w:r>
    </w:p>
    <w:p w14:paraId="061E004E">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评标采用百分制，各评委独立分别对实质上响应比选文件进行逐项打分，对评标委员会各成员每一因素的打分汇总后取算术平均分，该平均分为投标人的得分。</w:t>
      </w:r>
    </w:p>
    <w:p w14:paraId="1B676D76">
      <w:pPr>
        <w:widowControl w:val="0"/>
        <w:autoSpaceDE w:val="0"/>
        <w:autoSpaceDN w:val="0"/>
        <w:adjustRightInd w:val="0"/>
        <w:spacing w:after="120" w:line="360" w:lineRule="auto"/>
        <w:jc w:val="both"/>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（二）评审因素与标准</w:t>
      </w:r>
    </w:p>
    <w:p w14:paraId="55C3A201">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 评审原则：由医院组织评审小组，按照公平、公正、科学择优的原则，对投标文件进行综合评审，重点考量报价合理性、技术方案可行性、团队资质、过往业绩等因素。</w:t>
      </w:r>
    </w:p>
    <w:tbl>
      <w:tblPr>
        <w:tblStyle w:val="9"/>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2"/>
        <w:gridCol w:w="1213"/>
        <w:gridCol w:w="6505"/>
        <w:gridCol w:w="893"/>
      </w:tblGrid>
      <w:tr w14:paraId="2465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01"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F6992BE">
            <w:pPr>
              <w:keepNext w:val="0"/>
              <w:keepLines w:val="0"/>
              <w:pageBreakBefore w:val="0"/>
              <w:widowControl w:val="0"/>
              <w:kinsoku/>
              <w:wordWrap/>
              <w:overflowPunct/>
              <w:topLinePunct w:val="0"/>
              <w:bidi w:val="0"/>
              <w:spacing w:after="0" w:line="288" w:lineRule="auto"/>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第一部分价格分（30分）</w:t>
            </w:r>
          </w:p>
        </w:tc>
        <w:tc>
          <w:tcPr>
            <w:tcW w:w="49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D63427">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分值</w:t>
            </w:r>
          </w:p>
        </w:tc>
      </w:tr>
      <w:tr w14:paraId="75B9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86" w:type="pct"/>
            <w:tcBorders>
              <w:top w:val="nil"/>
              <w:left w:val="single" w:color="000000" w:sz="8" w:space="0"/>
              <w:bottom w:val="single" w:color="000000" w:sz="8" w:space="0"/>
              <w:right w:val="single" w:color="000000" w:sz="8" w:space="0"/>
            </w:tcBorders>
            <w:shd w:val="clear" w:color="auto" w:fill="auto"/>
            <w:noWrap/>
            <w:vAlign w:val="center"/>
          </w:tcPr>
          <w:p w14:paraId="2D1C08A7">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678" w:type="pct"/>
            <w:tcBorders>
              <w:top w:val="nil"/>
              <w:left w:val="single" w:color="000000" w:sz="8" w:space="0"/>
              <w:bottom w:val="single" w:color="000000" w:sz="8" w:space="0"/>
              <w:right w:val="single" w:color="000000" w:sz="8" w:space="0"/>
            </w:tcBorders>
            <w:shd w:val="clear" w:color="auto" w:fill="auto"/>
            <w:vAlign w:val="center"/>
          </w:tcPr>
          <w:p w14:paraId="0E651A7C">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价格</w:t>
            </w:r>
          </w:p>
        </w:tc>
        <w:tc>
          <w:tcPr>
            <w:tcW w:w="3636" w:type="pct"/>
            <w:tcBorders>
              <w:top w:val="nil"/>
              <w:left w:val="single" w:color="000000" w:sz="8" w:space="0"/>
              <w:bottom w:val="single" w:color="000000" w:sz="8" w:space="0"/>
              <w:right w:val="single" w:color="000000" w:sz="8" w:space="0"/>
            </w:tcBorders>
            <w:shd w:val="clear" w:color="auto" w:fill="auto"/>
            <w:vAlign w:val="center"/>
          </w:tcPr>
          <w:p w14:paraId="2BE921B9">
            <w:pPr>
              <w:keepNext w:val="0"/>
              <w:keepLines w:val="0"/>
              <w:pageBreakBefore w:val="0"/>
              <w:widowControl w:val="0"/>
              <w:kinsoku/>
              <w:wordWrap/>
              <w:overflowPunct/>
              <w:topLinePunct w:val="0"/>
              <w:autoSpaceDE/>
              <w:autoSpaceDN/>
              <w:bidi w:val="0"/>
              <w:adjustRightInd/>
              <w:snapToGrid/>
              <w:spacing w:after="0" w:line="288" w:lineRule="auto"/>
              <w:jc w:val="both"/>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（1）投标报价超过采购预算的，投标无效，未超过采购预算的投标报价按以下公式进行计算</w:t>
            </w:r>
          </w:p>
          <w:p w14:paraId="02A7671E">
            <w:pPr>
              <w:keepNext w:val="0"/>
              <w:keepLines w:val="0"/>
              <w:pageBreakBefore w:val="0"/>
              <w:widowControl w:val="0"/>
              <w:kinsoku/>
              <w:wordWrap/>
              <w:overflowPunct/>
              <w:topLinePunct w:val="0"/>
              <w:autoSpaceDE/>
              <w:autoSpaceDN/>
              <w:bidi w:val="0"/>
              <w:adjustRightInd/>
              <w:snapToGrid/>
              <w:spacing w:after="0" w:line="288" w:lineRule="auto"/>
              <w:jc w:val="both"/>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（2）投标报价得分=（评标基准价/投标报价）×10</w:t>
            </w:r>
          </w:p>
          <w:p w14:paraId="16C2926F">
            <w:pPr>
              <w:keepNext w:val="0"/>
              <w:keepLines w:val="0"/>
              <w:pageBreakBefore w:val="0"/>
              <w:widowControl w:val="0"/>
              <w:kinsoku/>
              <w:wordWrap/>
              <w:overflowPunct/>
              <w:topLinePunct w:val="0"/>
              <w:autoSpaceDE/>
              <w:autoSpaceDN/>
              <w:bidi w:val="0"/>
              <w:adjustRightInd/>
              <w:snapToGrid/>
              <w:spacing w:after="0" w:line="288" w:lineRule="auto"/>
              <w:jc w:val="both"/>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注：满足院内比选文件要求且投标报价最低的投标报价为评标基准价</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78964E5D">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30</w:t>
            </w:r>
          </w:p>
        </w:tc>
      </w:tr>
      <w:tr w14:paraId="6122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01" w:type="pct"/>
            <w:gridSpan w:val="3"/>
            <w:tcBorders>
              <w:top w:val="nil"/>
              <w:left w:val="single" w:color="000000" w:sz="8" w:space="0"/>
              <w:bottom w:val="single" w:color="000000" w:sz="8" w:space="0"/>
              <w:right w:val="single" w:color="000000" w:sz="8" w:space="0"/>
            </w:tcBorders>
            <w:shd w:val="clear" w:color="auto" w:fill="auto"/>
            <w:noWrap/>
            <w:vAlign w:val="center"/>
          </w:tcPr>
          <w:p w14:paraId="499799FB">
            <w:pPr>
              <w:keepNext w:val="0"/>
              <w:keepLines w:val="0"/>
              <w:pageBreakBefore w:val="0"/>
              <w:widowControl w:val="0"/>
              <w:kinsoku/>
              <w:wordWrap/>
              <w:overflowPunct/>
              <w:topLinePunct w:val="0"/>
              <w:bidi w:val="0"/>
              <w:spacing w:after="0" w:line="288" w:lineRule="auto"/>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第二部分客观分（50分）</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30AEB2FE">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分值</w:t>
            </w:r>
          </w:p>
        </w:tc>
      </w:tr>
      <w:tr w14:paraId="45A1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86" w:type="pct"/>
            <w:tcBorders>
              <w:top w:val="nil"/>
              <w:left w:val="single" w:color="000000" w:sz="8" w:space="0"/>
              <w:bottom w:val="single" w:color="000000" w:sz="8" w:space="0"/>
              <w:right w:val="single" w:color="000000" w:sz="8" w:space="0"/>
            </w:tcBorders>
            <w:shd w:val="clear" w:color="auto" w:fill="auto"/>
            <w:noWrap/>
            <w:vAlign w:val="center"/>
          </w:tcPr>
          <w:p w14:paraId="57B2935D">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678" w:type="pct"/>
            <w:tcBorders>
              <w:top w:val="nil"/>
              <w:left w:val="single" w:color="000000" w:sz="8" w:space="0"/>
              <w:bottom w:val="single" w:color="000000" w:sz="8" w:space="0"/>
              <w:right w:val="single" w:color="000000" w:sz="8" w:space="0"/>
            </w:tcBorders>
            <w:shd w:val="clear" w:color="auto" w:fill="auto"/>
            <w:vAlign w:val="center"/>
          </w:tcPr>
          <w:p w14:paraId="28ADC5B7">
            <w:pPr>
              <w:keepNext w:val="0"/>
              <w:keepLines w:val="0"/>
              <w:pageBreakBefore w:val="0"/>
              <w:kinsoku/>
              <w:wordWrap/>
              <w:overflowPunct/>
              <w:topLinePunct w:val="0"/>
              <w:bidi w:val="0"/>
              <w:snapToGrid w:val="0"/>
              <w:spacing w:after="0" w:line="288"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Arial"/>
                <w:bCs/>
                <w:color w:val="auto"/>
                <w:sz w:val="21"/>
                <w:szCs w:val="21"/>
                <w:highlight w:val="none"/>
              </w:rPr>
              <w:t>技术要求响应</w:t>
            </w:r>
            <w:r>
              <w:rPr>
                <w:rFonts w:hint="eastAsia" w:ascii="Times New Roman" w:hAnsi="Times New Roman" w:eastAsia="宋体" w:cs="Arial"/>
                <w:bCs/>
                <w:color w:val="auto"/>
                <w:sz w:val="21"/>
                <w:szCs w:val="21"/>
                <w:highlight w:val="none"/>
                <w:lang w:eastAsia="zh-CN"/>
              </w:rPr>
              <w:t>评价</w:t>
            </w:r>
          </w:p>
        </w:tc>
        <w:tc>
          <w:tcPr>
            <w:tcW w:w="3636" w:type="pct"/>
            <w:tcBorders>
              <w:top w:val="nil"/>
              <w:left w:val="single" w:color="000000" w:sz="8" w:space="0"/>
              <w:bottom w:val="single" w:color="000000" w:sz="8" w:space="0"/>
              <w:right w:val="single" w:color="000000" w:sz="8" w:space="0"/>
            </w:tcBorders>
            <w:shd w:val="clear" w:color="auto" w:fill="auto"/>
            <w:vAlign w:val="center"/>
          </w:tcPr>
          <w:p w14:paraId="318D7ACA">
            <w:pPr>
              <w:keepNext w:val="0"/>
              <w:keepLines w:val="0"/>
              <w:pageBreakBefore w:val="0"/>
              <w:kinsoku/>
              <w:wordWrap/>
              <w:overflowPunct/>
              <w:topLinePunct w:val="0"/>
              <w:bidi w:val="0"/>
              <w:snapToGrid w:val="0"/>
              <w:spacing w:after="0" w:line="288" w:lineRule="auto"/>
              <w:jc w:val="both"/>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Arial"/>
                <w:color w:val="auto"/>
                <w:sz w:val="21"/>
                <w:szCs w:val="21"/>
                <w:highlight w:val="none"/>
              </w:rPr>
              <w:t>“★”号条款为实质性条款，任何负偏离将导致其投标被否决。</w:t>
            </w:r>
            <w:r>
              <w:rPr>
                <w:rFonts w:hint="eastAsia" w:ascii="Times New Roman" w:hAnsi="Times New Roman" w:eastAsia="宋体" w:cs="Arial"/>
                <w:color w:val="auto"/>
                <w:sz w:val="21"/>
                <w:szCs w:val="21"/>
                <w:highlight w:val="none"/>
                <w:lang w:eastAsia="zh-CN"/>
              </w:rPr>
              <w:t>技术要求</w:t>
            </w:r>
            <w:r>
              <w:rPr>
                <w:rFonts w:hint="default" w:ascii="Times New Roman" w:hAnsi="Times New Roman" w:eastAsia="宋体" w:cs="Arial"/>
                <w:color w:val="auto"/>
                <w:sz w:val="21"/>
                <w:szCs w:val="21"/>
                <w:highlight w:val="none"/>
              </w:rPr>
              <w:t>完全满足无偏离的得</w:t>
            </w:r>
            <w:r>
              <w:rPr>
                <w:rFonts w:hint="eastAsia" w:ascii="Times New Roman" w:hAnsi="Times New Roman" w:eastAsia="宋体" w:cs="Arial"/>
                <w:color w:val="auto"/>
                <w:sz w:val="21"/>
                <w:szCs w:val="21"/>
                <w:highlight w:val="none"/>
                <w:lang w:val="en-US" w:eastAsia="zh-CN"/>
              </w:rPr>
              <w:t>20</w:t>
            </w:r>
            <w:r>
              <w:rPr>
                <w:rFonts w:hint="default" w:ascii="Times New Roman" w:hAnsi="Times New Roman" w:eastAsia="宋体" w:cs="Arial"/>
                <w:color w:val="auto"/>
                <w:sz w:val="21"/>
                <w:szCs w:val="21"/>
                <w:highlight w:val="none"/>
              </w:rPr>
              <w:t>分。非“★”技术要求劣于</w:t>
            </w:r>
            <w:r>
              <w:rPr>
                <w:rFonts w:hint="default" w:ascii="Times New Roman" w:hAnsi="Times New Roman" w:eastAsia="宋体" w:cs="Arial"/>
                <w:color w:val="auto"/>
                <w:sz w:val="21"/>
                <w:szCs w:val="21"/>
                <w:highlight w:val="none"/>
                <w:lang w:val="en-US" w:eastAsia="zh-CN"/>
              </w:rPr>
              <w:t>招标</w:t>
            </w:r>
            <w:r>
              <w:rPr>
                <w:rFonts w:hint="default" w:ascii="Times New Roman" w:hAnsi="Times New Roman" w:eastAsia="宋体" w:cs="Arial"/>
                <w:color w:val="auto"/>
                <w:sz w:val="21"/>
                <w:szCs w:val="21"/>
                <w:highlight w:val="none"/>
              </w:rPr>
              <w:t>文件要求或未做应答的，每条扣</w:t>
            </w:r>
            <w:r>
              <w:rPr>
                <w:rFonts w:hint="eastAsia" w:ascii="Times New Roman" w:hAnsi="Times New Roman" w:eastAsia="宋体" w:cs="Arial"/>
                <w:color w:val="auto"/>
                <w:sz w:val="21"/>
                <w:szCs w:val="21"/>
                <w:highlight w:val="none"/>
                <w:lang w:val="en-US" w:eastAsia="zh-CN"/>
              </w:rPr>
              <w:t>4</w:t>
            </w:r>
            <w:r>
              <w:rPr>
                <w:rFonts w:hint="default" w:ascii="Times New Roman" w:hAnsi="Times New Roman" w:eastAsia="宋体" w:cs="Arial"/>
                <w:color w:val="auto"/>
                <w:sz w:val="21"/>
                <w:szCs w:val="21"/>
                <w:highlight w:val="none"/>
              </w:rPr>
              <w:t>分，最低0分。</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574961DC">
            <w:pPr>
              <w:keepNext w:val="0"/>
              <w:keepLines w:val="0"/>
              <w:pageBreakBefore w:val="0"/>
              <w:kinsoku/>
              <w:wordWrap/>
              <w:overflowPunct/>
              <w:topLinePunct w:val="0"/>
              <w:bidi w:val="0"/>
              <w:snapToGrid w:val="0"/>
              <w:spacing w:after="0" w:line="288"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Arial"/>
                <w:bCs/>
                <w:color w:val="auto"/>
                <w:sz w:val="21"/>
                <w:szCs w:val="21"/>
                <w:highlight w:val="none"/>
                <w:lang w:val="en-US" w:eastAsia="zh-CN"/>
              </w:rPr>
              <w:t>20</w:t>
            </w:r>
          </w:p>
        </w:tc>
      </w:tr>
      <w:tr w14:paraId="1740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86" w:type="pct"/>
            <w:tcBorders>
              <w:top w:val="nil"/>
              <w:left w:val="single" w:color="000000" w:sz="8" w:space="0"/>
              <w:bottom w:val="single" w:color="000000" w:sz="8" w:space="0"/>
              <w:right w:val="single" w:color="000000" w:sz="8" w:space="0"/>
            </w:tcBorders>
            <w:shd w:val="clear" w:color="auto" w:fill="auto"/>
            <w:noWrap/>
            <w:vAlign w:val="center"/>
          </w:tcPr>
          <w:p w14:paraId="553100CC">
            <w:pPr>
              <w:keepNext w:val="0"/>
              <w:keepLines w:val="0"/>
              <w:pageBreakBefore w:val="0"/>
              <w:widowControl w:val="0"/>
              <w:kinsoku/>
              <w:wordWrap/>
              <w:overflowPunct/>
              <w:topLinePunct w:val="0"/>
              <w:bidi w:val="0"/>
              <w:spacing w:after="0" w:line="288"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p>
        </w:tc>
        <w:tc>
          <w:tcPr>
            <w:tcW w:w="678" w:type="pct"/>
            <w:tcBorders>
              <w:top w:val="nil"/>
              <w:left w:val="single" w:color="000000" w:sz="8" w:space="0"/>
              <w:bottom w:val="single" w:color="000000" w:sz="8" w:space="0"/>
              <w:right w:val="single" w:color="000000" w:sz="8" w:space="0"/>
            </w:tcBorders>
            <w:shd w:val="clear" w:color="auto" w:fill="auto"/>
            <w:vAlign w:val="center"/>
          </w:tcPr>
          <w:p w14:paraId="5DA942C2">
            <w:pPr>
              <w:keepNext w:val="0"/>
              <w:keepLines w:val="0"/>
              <w:pageBreakBefore w:val="0"/>
              <w:widowControl/>
              <w:kinsoku/>
              <w:wordWrap/>
              <w:overflowPunct/>
              <w:topLinePunct w:val="0"/>
              <w:bidi w:val="0"/>
              <w:adjustRightInd w:val="0"/>
              <w:snapToGrid w:val="0"/>
              <w:spacing w:after="0" w:line="288"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Arial"/>
                <w:color w:val="auto"/>
                <w:sz w:val="21"/>
                <w:szCs w:val="21"/>
                <w:highlight w:val="none"/>
                <w:lang w:eastAsia="zh-CN"/>
              </w:rPr>
              <w:t>案例</w:t>
            </w:r>
            <w:r>
              <w:rPr>
                <w:rFonts w:hint="default" w:ascii="Times New Roman" w:hAnsi="Times New Roman" w:eastAsia="宋体" w:cs="Arial"/>
                <w:color w:val="auto"/>
                <w:sz w:val="21"/>
                <w:szCs w:val="21"/>
                <w:highlight w:val="none"/>
              </w:rPr>
              <w:t>业绩</w:t>
            </w:r>
          </w:p>
        </w:tc>
        <w:tc>
          <w:tcPr>
            <w:tcW w:w="3636" w:type="pct"/>
            <w:tcBorders>
              <w:top w:val="nil"/>
              <w:left w:val="single" w:color="000000" w:sz="8" w:space="0"/>
              <w:bottom w:val="single" w:color="000000" w:sz="8" w:space="0"/>
              <w:right w:val="single" w:color="000000" w:sz="8" w:space="0"/>
            </w:tcBorders>
            <w:shd w:val="clear" w:color="auto" w:fill="auto"/>
            <w:vAlign w:val="center"/>
          </w:tcPr>
          <w:p w14:paraId="0775B49A">
            <w:pPr>
              <w:keepNext w:val="0"/>
              <w:keepLines w:val="0"/>
              <w:pageBreakBefore w:val="0"/>
              <w:kinsoku/>
              <w:wordWrap/>
              <w:overflowPunct/>
              <w:topLinePunct w:val="0"/>
              <w:bidi w:val="0"/>
              <w:spacing w:after="0" w:line="288" w:lineRule="auto"/>
              <w:jc w:val="both"/>
              <w:rPr>
                <w:rFonts w:hint="default" w:ascii="Times New Roman" w:hAnsi="Times New Roman" w:eastAsia="宋体" w:cs="Arial"/>
                <w:color w:val="auto"/>
                <w:sz w:val="21"/>
                <w:szCs w:val="21"/>
                <w:highlight w:val="none"/>
              </w:rPr>
            </w:pPr>
            <w:r>
              <w:rPr>
                <w:rFonts w:hint="eastAsia" w:ascii="Times New Roman" w:hAnsi="Times New Roman" w:eastAsia="宋体" w:cs="Arial"/>
                <w:color w:val="auto"/>
                <w:sz w:val="21"/>
                <w:szCs w:val="21"/>
                <w:highlight w:val="none"/>
                <w:lang w:eastAsia="zh-CN"/>
              </w:rPr>
              <w:t>完全按照</w:t>
            </w:r>
            <w:r>
              <w:rPr>
                <w:rFonts w:hint="default" w:ascii="Times New Roman" w:hAnsi="Times New Roman" w:eastAsia="宋体" w:cs="Arial"/>
                <w:color w:val="auto"/>
                <w:sz w:val="21"/>
                <w:szCs w:val="21"/>
                <w:highlight w:val="none"/>
              </w:rPr>
              <w:t>要求提供合同签订日期在2023年1月1日后至今已完成或正在履行的相关宣传服务案例。每提供一个成功案例得5分，最高得15分。</w:t>
            </w:r>
          </w:p>
          <w:p w14:paraId="6E763773">
            <w:pPr>
              <w:keepNext w:val="0"/>
              <w:keepLines w:val="0"/>
              <w:pageBreakBefore w:val="0"/>
              <w:kinsoku/>
              <w:wordWrap/>
              <w:overflowPunct/>
              <w:topLinePunct w:val="0"/>
              <w:bidi w:val="0"/>
              <w:adjustRightInd w:val="0"/>
              <w:snapToGrid w:val="0"/>
              <w:spacing w:after="0" w:line="288" w:lineRule="auto"/>
              <w:jc w:val="both"/>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Arial"/>
                <w:color w:val="auto"/>
                <w:sz w:val="21"/>
                <w:szCs w:val="21"/>
                <w:lang w:val="en-US" w:eastAsia="zh-CN"/>
              </w:rPr>
              <w:t>注：提供与案例用户签订的合同证明文件扫描件或复印件，或提供案例用户出具的证明函原件扫描件（用户盖章）</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73E5F932">
            <w:pPr>
              <w:keepNext w:val="0"/>
              <w:keepLines w:val="0"/>
              <w:pageBreakBefore w:val="0"/>
              <w:kinsoku/>
              <w:wordWrap/>
              <w:overflowPunct/>
              <w:topLinePunct w:val="0"/>
              <w:bidi w:val="0"/>
              <w:adjustRightInd w:val="0"/>
              <w:snapToGrid w:val="0"/>
              <w:spacing w:after="0" w:line="288"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Arial"/>
                <w:bCs/>
                <w:color w:val="auto"/>
                <w:sz w:val="21"/>
                <w:szCs w:val="21"/>
                <w:highlight w:val="none"/>
                <w:lang w:val="en-US" w:eastAsia="zh-CN" w:bidi="ar"/>
              </w:rPr>
              <w:t>15</w:t>
            </w:r>
          </w:p>
        </w:tc>
      </w:tr>
      <w:tr w14:paraId="73A0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86" w:type="pct"/>
            <w:tcBorders>
              <w:top w:val="nil"/>
              <w:left w:val="single" w:color="000000" w:sz="8" w:space="0"/>
              <w:bottom w:val="single" w:color="auto" w:sz="4" w:space="0"/>
              <w:right w:val="single" w:color="000000" w:sz="8" w:space="0"/>
            </w:tcBorders>
            <w:shd w:val="clear" w:color="auto" w:fill="auto"/>
            <w:noWrap/>
            <w:vAlign w:val="center"/>
          </w:tcPr>
          <w:p w14:paraId="481317F5">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p>
        </w:tc>
        <w:tc>
          <w:tcPr>
            <w:tcW w:w="678" w:type="pct"/>
            <w:tcBorders>
              <w:top w:val="nil"/>
              <w:left w:val="single" w:color="000000" w:sz="8" w:space="0"/>
              <w:bottom w:val="single" w:color="000000" w:sz="8" w:space="0"/>
              <w:right w:val="single" w:color="000000" w:sz="8" w:space="0"/>
            </w:tcBorders>
            <w:shd w:val="clear" w:color="auto" w:fill="auto"/>
            <w:vAlign w:val="center"/>
          </w:tcPr>
          <w:p w14:paraId="2999F163">
            <w:pPr>
              <w:keepNext w:val="0"/>
              <w:keepLines w:val="0"/>
              <w:pageBreakBefore w:val="0"/>
              <w:widowControl/>
              <w:kinsoku/>
              <w:wordWrap/>
              <w:overflowPunct/>
              <w:topLinePunct w:val="0"/>
              <w:bidi w:val="0"/>
              <w:spacing w:after="0" w:line="288"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Arial"/>
                <w:color w:val="auto"/>
                <w:kern w:val="0"/>
                <w:sz w:val="21"/>
                <w:szCs w:val="21"/>
                <w:highlight w:val="none"/>
              </w:rPr>
              <w:t>认证评价</w:t>
            </w:r>
          </w:p>
        </w:tc>
        <w:tc>
          <w:tcPr>
            <w:tcW w:w="3636" w:type="pct"/>
            <w:tcBorders>
              <w:top w:val="nil"/>
              <w:left w:val="single" w:color="000000" w:sz="8" w:space="0"/>
              <w:bottom w:val="single" w:color="000000" w:sz="8" w:space="0"/>
              <w:right w:val="single" w:color="000000" w:sz="8" w:space="0"/>
            </w:tcBorders>
            <w:shd w:val="clear" w:color="auto" w:fill="auto"/>
            <w:vAlign w:val="center"/>
          </w:tcPr>
          <w:p w14:paraId="4160D2F6">
            <w:pPr>
              <w:keepNext w:val="0"/>
              <w:keepLines w:val="0"/>
              <w:pageBreakBefore w:val="0"/>
              <w:kinsoku/>
              <w:wordWrap/>
              <w:overflowPunct/>
              <w:topLinePunct w:val="0"/>
              <w:bidi w:val="0"/>
              <w:spacing w:after="0" w:line="288" w:lineRule="auto"/>
              <w:jc w:val="both"/>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Arial"/>
                <w:color w:val="auto"/>
                <w:sz w:val="21"/>
                <w:szCs w:val="21"/>
                <w:highlight w:val="none"/>
              </w:rPr>
              <w:t>投标人具备在有效期内的互联网新闻信息服务许可证证书、网络文化经营许可证证书提供有效期内的证书复印件或扫描件加盖公章，1个证书得5分，最高10分。</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46027545">
            <w:pPr>
              <w:keepNext w:val="0"/>
              <w:keepLines w:val="0"/>
              <w:pageBreakBefore w:val="0"/>
              <w:kinsoku/>
              <w:wordWrap/>
              <w:overflowPunct/>
              <w:topLinePunct w:val="0"/>
              <w:bidi w:val="0"/>
              <w:spacing w:after="0" w:line="288"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Arial"/>
                <w:color w:val="auto"/>
                <w:sz w:val="21"/>
                <w:szCs w:val="21"/>
                <w:highlight w:val="none"/>
                <w:lang w:val="en-US" w:eastAsia="zh-CN"/>
              </w:rPr>
              <w:t>10</w:t>
            </w:r>
          </w:p>
        </w:tc>
      </w:tr>
      <w:tr w14:paraId="2927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86" w:type="pct"/>
            <w:tcBorders>
              <w:top w:val="nil"/>
              <w:left w:val="single" w:color="000000" w:sz="8" w:space="0"/>
              <w:bottom w:val="single" w:color="auto" w:sz="4" w:space="0"/>
              <w:right w:val="single" w:color="000000" w:sz="8" w:space="0"/>
            </w:tcBorders>
            <w:shd w:val="clear" w:color="auto" w:fill="auto"/>
            <w:noWrap/>
            <w:vAlign w:val="center"/>
          </w:tcPr>
          <w:p w14:paraId="018A1F3E">
            <w:pPr>
              <w:keepNext w:val="0"/>
              <w:keepLines w:val="0"/>
              <w:pageBreakBefore w:val="0"/>
              <w:widowControl w:val="0"/>
              <w:kinsoku/>
              <w:wordWrap/>
              <w:overflowPunct/>
              <w:topLinePunct w:val="0"/>
              <w:bidi w:val="0"/>
              <w:spacing w:after="0" w:line="288"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w:t>
            </w:r>
          </w:p>
        </w:tc>
        <w:tc>
          <w:tcPr>
            <w:tcW w:w="678" w:type="pct"/>
            <w:tcBorders>
              <w:top w:val="nil"/>
              <w:left w:val="single" w:color="000000" w:sz="8" w:space="0"/>
              <w:bottom w:val="single" w:color="000000" w:sz="8" w:space="0"/>
              <w:right w:val="single" w:color="000000" w:sz="8" w:space="0"/>
            </w:tcBorders>
            <w:shd w:val="clear" w:color="auto" w:fill="auto"/>
            <w:vAlign w:val="center"/>
          </w:tcPr>
          <w:p w14:paraId="0752F51F">
            <w:pPr>
              <w:keepNext w:val="0"/>
              <w:keepLines w:val="0"/>
              <w:pageBreakBefore w:val="0"/>
              <w:widowControl/>
              <w:kinsoku/>
              <w:wordWrap/>
              <w:overflowPunct/>
              <w:topLinePunct w:val="0"/>
              <w:bidi w:val="0"/>
              <w:spacing w:after="0" w:line="288" w:lineRule="auto"/>
              <w:ind w:firstLine="0" w:firstLineChars="0"/>
              <w:jc w:val="center"/>
              <w:rPr>
                <w:rFonts w:hint="default" w:ascii="Times New Roman" w:hAnsi="Times New Roman" w:eastAsia="宋体" w:cs="Arial"/>
                <w:color w:val="auto"/>
                <w:kern w:val="0"/>
                <w:sz w:val="21"/>
                <w:szCs w:val="21"/>
                <w:highlight w:val="none"/>
              </w:rPr>
            </w:pPr>
            <w:r>
              <w:rPr>
                <w:rFonts w:hint="default" w:ascii="Times New Roman" w:hAnsi="Times New Roman" w:eastAsia="宋体" w:cs="Arial"/>
                <w:color w:val="auto"/>
                <w:kern w:val="0"/>
                <w:sz w:val="21"/>
                <w:szCs w:val="21"/>
                <w:highlight w:val="none"/>
              </w:rPr>
              <w:t>服务能力</w:t>
            </w:r>
          </w:p>
        </w:tc>
        <w:tc>
          <w:tcPr>
            <w:tcW w:w="3636" w:type="pct"/>
            <w:tcBorders>
              <w:top w:val="nil"/>
              <w:left w:val="single" w:color="000000" w:sz="8" w:space="0"/>
              <w:bottom w:val="single" w:color="000000" w:sz="8" w:space="0"/>
              <w:right w:val="single" w:color="000000" w:sz="8" w:space="0"/>
            </w:tcBorders>
            <w:shd w:val="clear" w:color="auto" w:fill="auto"/>
            <w:vAlign w:val="center"/>
          </w:tcPr>
          <w:p w14:paraId="280FBD37">
            <w:pPr>
              <w:keepNext w:val="0"/>
              <w:keepLines w:val="0"/>
              <w:pageBreakBefore w:val="0"/>
              <w:kinsoku/>
              <w:wordWrap/>
              <w:overflowPunct/>
              <w:topLinePunct w:val="0"/>
              <w:bidi w:val="0"/>
              <w:spacing w:after="0" w:line="288" w:lineRule="auto"/>
              <w:jc w:val="both"/>
              <w:rPr>
                <w:rFonts w:hint="default" w:ascii="Times New Roman" w:hAnsi="Times New Roman" w:eastAsia="宋体" w:cs="Arial"/>
                <w:color w:val="auto"/>
                <w:sz w:val="21"/>
                <w:szCs w:val="21"/>
                <w:highlight w:val="none"/>
              </w:rPr>
            </w:pPr>
            <w:r>
              <w:rPr>
                <w:rFonts w:hint="default" w:ascii="Times New Roman" w:hAnsi="Times New Roman" w:eastAsia="宋体" w:cs="Arial"/>
                <w:color w:val="auto"/>
                <w:sz w:val="21"/>
                <w:szCs w:val="21"/>
                <w:highlight w:val="none"/>
              </w:rPr>
              <w:t>拟投入本项目的</w:t>
            </w:r>
            <w:r>
              <w:rPr>
                <w:rFonts w:hint="eastAsia" w:ascii="Times New Roman" w:hAnsi="Times New Roman" w:eastAsia="宋体" w:cs="Arial"/>
                <w:color w:val="auto"/>
                <w:sz w:val="21"/>
                <w:szCs w:val="21"/>
                <w:highlight w:val="none"/>
                <w:lang w:eastAsia="zh-CN"/>
              </w:rPr>
              <w:t>负责人</w:t>
            </w:r>
            <w:r>
              <w:rPr>
                <w:rFonts w:hint="default" w:ascii="Times New Roman" w:hAnsi="Times New Roman" w:eastAsia="宋体" w:cs="Arial"/>
                <w:color w:val="auto"/>
                <w:sz w:val="21"/>
                <w:szCs w:val="21"/>
                <w:highlight w:val="none"/>
              </w:rPr>
              <w:t>具备5年及以上</w:t>
            </w:r>
            <w:r>
              <w:rPr>
                <w:rFonts w:hint="eastAsia" w:ascii="Times New Roman" w:hAnsi="Times New Roman" w:eastAsia="宋体" w:cs="Arial"/>
                <w:color w:val="auto"/>
                <w:sz w:val="21"/>
                <w:szCs w:val="21"/>
                <w:highlight w:val="none"/>
                <w:lang w:eastAsia="zh-CN"/>
              </w:rPr>
              <w:t>视频制作管理</w:t>
            </w:r>
            <w:r>
              <w:rPr>
                <w:rFonts w:hint="default" w:ascii="Times New Roman" w:hAnsi="Times New Roman" w:eastAsia="宋体" w:cs="Arial"/>
                <w:color w:val="auto"/>
                <w:sz w:val="21"/>
                <w:szCs w:val="21"/>
                <w:highlight w:val="none"/>
              </w:rPr>
              <w:t>经验的得5分。</w:t>
            </w:r>
          </w:p>
          <w:p w14:paraId="79A50523">
            <w:pPr>
              <w:keepNext w:val="0"/>
              <w:keepLines w:val="0"/>
              <w:pageBreakBefore w:val="0"/>
              <w:kinsoku/>
              <w:wordWrap/>
              <w:overflowPunct/>
              <w:topLinePunct w:val="0"/>
              <w:bidi w:val="0"/>
              <w:spacing w:after="0" w:line="288" w:lineRule="auto"/>
              <w:jc w:val="both"/>
              <w:rPr>
                <w:rFonts w:hint="default" w:ascii="Times New Roman" w:hAnsi="Times New Roman" w:eastAsia="宋体" w:cs="Arial"/>
                <w:color w:val="auto"/>
                <w:sz w:val="21"/>
                <w:szCs w:val="21"/>
                <w:highlight w:val="none"/>
              </w:rPr>
            </w:pPr>
            <w:r>
              <w:rPr>
                <w:rFonts w:hint="default" w:ascii="Times New Roman" w:hAnsi="Times New Roman" w:eastAsia="宋体" w:cs="Arial"/>
                <w:color w:val="auto"/>
                <w:sz w:val="21"/>
                <w:szCs w:val="21"/>
                <w:highlight w:val="none"/>
              </w:rPr>
              <w:t>注：提供的证明材料（包括但不限于：项目</w:t>
            </w:r>
            <w:r>
              <w:rPr>
                <w:rFonts w:hint="eastAsia" w:ascii="Times New Roman" w:hAnsi="Times New Roman" w:eastAsia="宋体" w:cs="Arial"/>
                <w:color w:val="auto"/>
                <w:sz w:val="21"/>
                <w:szCs w:val="21"/>
                <w:highlight w:val="none"/>
                <w:lang w:eastAsia="zh-CN"/>
              </w:rPr>
              <w:t>负责人</w:t>
            </w:r>
            <w:r>
              <w:rPr>
                <w:rFonts w:hint="default" w:ascii="Times New Roman" w:hAnsi="Times New Roman" w:eastAsia="宋体" w:cs="Arial"/>
                <w:color w:val="auto"/>
                <w:sz w:val="21"/>
                <w:szCs w:val="21"/>
                <w:highlight w:val="none"/>
              </w:rPr>
              <w:t>实施过的项目合同或验收报告等相关证明材料）的扫描件或复印件。</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3A8D6F0F">
            <w:pPr>
              <w:keepNext w:val="0"/>
              <w:keepLines w:val="0"/>
              <w:pageBreakBefore w:val="0"/>
              <w:kinsoku/>
              <w:wordWrap/>
              <w:overflowPunct/>
              <w:topLinePunct w:val="0"/>
              <w:bidi w:val="0"/>
              <w:spacing w:after="0" w:line="288" w:lineRule="auto"/>
              <w:ind w:firstLine="0" w:firstLineChars="0"/>
              <w:jc w:val="center"/>
              <w:rPr>
                <w:rFonts w:hint="default" w:ascii="Times New Roman" w:hAnsi="Times New Roman" w:eastAsia="宋体" w:cs="Arial"/>
                <w:color w:val="auto"/>
                <w:sz w:val="21"/>
                <w:szCs w:val="21"/>
                <w:highlight w:val="none"/>
                <w:lang w:val="en-US" w:eastAsia="zh-CN"/>
              </w:rPr>
            </w:pPr>
            <w:r>
              <w:rPr>
                <w:rFonts w:hint="eastAsia" w:ascii="Times New Roman" w:hAnsi="Times New Roman" w:eastAsia="宋体" w:cs="Arial"/>
                <w:color w:val="auto"/>
                <w:sz w:val="21"/>
                <w:szCs w:val="21"/>
                <w:highlight w:val="none"/>
                <w:lang w:val="en-US" w:eastAsia="zh-CN"/>
              </w:rPr>
              <w:t>5</w:t>
            </w:r>
          </w:p>
        </w:tc>
      </w:tr>
      <w:tr w14:paraId="273A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5000" w:type="pct"/>
            <w:gridSpan w:val="4"/>
            <w:tcBorders>
              <w:top w:val="single" w:color="auto" w:sz="4" w:space="0"/>
              <w:left w:val="single" w:color="auto" w:sz="4" w:space="0"/>
              <w:bottom w:val="single" w:color="auto" w:sz="4" w:space="0"/>
              <w:right w:val="single" w:color="000000" w:sz="8" w:space="0"/>
            </w:tcBorders>
            <w:shd w:val="clear" w:color="auto" w:fill="auto"/>
            <w:noWrap/>
            <w:vAlign w:val="center"/>
          </w:tcPr>
          <w:p w14:paraId="218F6DC9">
            <w:pPr>
              <w:keepNext w:val="0"/>
              <w:keepLines w:val="0"/>
              <w:pageBreakBefore w:val="0"/>
              <w:widowControl w:val="0"/>
              <w:kinsoku/>
              <w:wordWrap/>
              <w:overflowPunct/>
              <w:topLinePunct w:val="0"/>
              <w:bidi w:val="0"/>
              <w:spacing w:after="0" w:line="288" w:lineRule="auto"/>
              <w:jc w:val="left"/>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第三部分主观分（20分）</w:t>
            </w:r>
          </w:p>
        </w:tc>
      </w:tr>
      <w:tr w14:paraId="216C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86" w:type="pct"/>
            <w:tcBorders>
              <w:top w:val="single" w:color="auto" w:sz="4" w:space="0"/>
              <w:left w:val="single" w:color="000000" w:sz="8" w:space="0"/>
              <w:bottom w:val="single" w:color="000000" w:sz="8" w:space="0"/>
              <w:right w:val="single" w:color="000000" w:sz="8" w:space="0"/>
            </w:tcBorders>
            <w:shd w:val="clear" w:color="auto" w:fill="auto"/>
            <w:noWrap/>
            <w:vAlign w:val="center"/>
          </w:tcPr>
          <w:p w14:paraId="386E9BEE">
            <w:pPr>
              <w:keepNext w:val="0"/>
              <w:keepLines w:val="0"/>
              <w:pageBreakBefore w:val="0"/>
              <w:widowControl w:val="0"/>
              <w:kinsoku/>
              <w:wordWrap/>
              <w:overflowPunct/>
              <w:topLinePunct w:val="0"/>
              <w:bidi w:val="0"/>
              <w:spacing w:after="0" w:line="288"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678" w:type="pct"/>
            <w:tcBorders>
              <w:top w:val="nil"/>
              <w:left w:val="single" w:color="000000" w:sz="8" w:space="0"/>
              <w:bottom w:val="single" w:color="000000" w:sz="8" w:space="0"/>
              <w:right w:val="single" w:color="000000" w:sz="8" w:space="0"/>
            </w:tcBorders>
            <w:shd w:val="clear" w:color="auto" w:fill="auto"/>
            <w:vAlign w:val="center"/>
          </w:tcPr>
          <w:p w14:paraId="74641F47">
            <w:pPr>
              <w:keepNext w:val="0"/>
              <w:keepLines w:val="0"/>
              <w:pageBreakBefore w:val="0"/>
              <w:kinsoku/>
              <w:wordWrap/>
              <w:overflowPunct/>
              <w:topLinePunct w:val="0"/>
              <w:autoSpaceDE w:val="0"/>
              <w:autoSpaceDN w:val="0"/>
              <w:bidi w:val="0"/>
              <w:spacing w:after="0" w:line="288"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Arial"/>
                <w:b w:val="0"/>
                <w:bCs w:val="0"/>
                <w:color w:val="auto"/>
                <w:sz w:val="21"/>
                <w:szCs w:val="21"/>
                <w:lang w:val="en-US" w:eastAsia="zh-CN"/>
              </w:rPr>
              <w:t>宣传视频摄制方案评价</w:t>
            </w:r>
          </w:p>
        </w:tc>
        <w:tc>
          <w:tcPr>
            <w:tcW w:w="3636" w:type="pct"/>
            <w:tcBorders>
              <w:top w:val="nil"/>
              <w:left w:val="single" w:color="000000" w:sz="8" w:space="0"/>
              <w:bottom w:val="single" w:color="000000" w:sz="8" w:space="0"/>
              <w:right w:val="single" w:color="000000" w:sz="8" w:space="0"/>
            </w:tcBorders>
            <w:shd w:val="clear" w:color="auto" w:fill="auto"/>
            <w:vAlign w:val="center"/>
          </w:tcPr>
          <w:p w14:paraId="6742F322">
            <w:pPr>
              <w:keepNext w:val="0"/>
              <w:keepLines w:val="0"/>
              <w:pageBreakBefore w:val="0"/>
              <w:kinsoku/>
              <w:wordWrap/>
              <w:overflowPunct/>
              <w:topLinePunct w:val="0"/>
              <w:bidi w:val="0"/>
              <w:spacing w:after="0" w:line="288" w:lineRule="auto"/>
              <w:jc w:val="both"/>
              <w:rPr>
                <w:rFonts w:hint="eastAsia" w:ascii="Times New Roman" w:hAnsi="Times New Roman" w:eastAsia="宋体" w:cs="Arial"/>
                <w:color w:val="auto"/>
                <w:sz w:val="21"/>
                <w:szCs w:val="21"/>
                <w:highlight w:val="none"/>
                <w:lang w:val="en-US" w:eastAsia="zh-CN"/>
              </w:rPr>
            </w:pPr>
            <w:r>
              <w:rPr>
                <w:rFonts w:hint="default" w:ascii="Times New Roman" w:hAnsi="Times New Roman" w:eastAsia="宋体" w:cs="Arial"/>
                <w:color w:val="auto"/>
                <w:sz w:val="21"/>
                <w:szCs w:val="21"/>
                <w:highlight w:val="none"/>
              </w:rPr>
              <w:t>针对本项目需求内容提供的</w:t>
            </w:r>
            <w:r>
              <w:rPr>
                <w:rFonts w:hint="default" w:ascii="Times New Roman" w:hAnsi="Times New Roman" w:eastAsia="宋体" w:cs="Arial"/>
                <w:color w:val="auto"/>
                <w:sz w:val="21"/>
                <w:szCs w:val="21"/>
                <w:highlight w:val="none"/>
                <w:lang w:val="en-US" w:eastAsia="zh-CN"/>
              </w:rPr>
              <w:t>宣传</w:t>
            </w:r>
            <w:r>
              <w:rPr>
                <w:rFonts w:hint="default" w:ascii="Times New Roman" w:hAnsi="Times New Roman" w:eastAsia="宋体" w:cs="Arial"/>
                <w:color w:val="auto"/>
                <w:sz w:val="21"/>
                <w:szCs w:val="21"/>
                <w:highlight w:val="none"/>
              </w:rPr>
              <w:t>视频摄制方案，应包含但不限于</w:t>
            </w:r>
            <w:r>
              <w:rPr>
                <w:rFonts w:hint="default" w:ascii="Times New Roman" w:hAnsi="Times New Roman" w:eastAsia="宋体" w:cs="Arial"/>
                <w:color w:val="auto"/>
                <w:sz w:val="21"/>
                <w:szCs w:val="21"/>
                <w:highlight w:val="none"/>
                <w:lang w:val="zh-TW"/>
              </w:rPr>
              <w:t>①</w:t>
            </w:r>
            <w:r>
              <w:rPr>
                <w:rFonts w:hint="default" w:ascii="Times New Roman" w:hAnsi="Times New Roman" w:eastAsia="宋体" w:cs="Arial"/>
                <w:color w:val="auto"/>
                <w:sz w:val="21"/>
                <w:szCs w:val="21"/>
                <w:highlight w:val="none"/>
                <w:lang w:val="en-US" w:eastAsia="zh-CN"/>
              </w:rPr>
              <w:t>宣传视频</w:t>
            </w:r>
            <w:r>
              <w:rPr>
                <w:rFonts w:hint="default" w:ascii="Times New Roman" w:hAnsi="Times New Roman" w:eastAsia="宋体" w:cs="Arial"/>
                <w:color w:val="auto"/>
                <w:sz w:val="21"/>
                <w:szCs w:val="21"/>
                <w:highlight w:val="none"/>
              </w:rPr>
              <w:t>摄制思路、</w:t>
            </w:r>
            <w:r>
              <w:rPr>
                <w:rFonts w:hint="default" w:ascii="Times New Roman" w:hAnsi="Times New Roman" w:eastAsia="宋体" w:cs="Arial"/>
                <w:color w:val="auto"/>
                <w:sz w:val="21"/>
                <w:szCs w:val="21"/>
                <w:highlight w:val="none"/>
                <w:lang w:val="zh-TW"/>
              </w:rPr>
              <w:t>②</w:t>
            </w:r>
            <w:r>
              <w:rPr>
                <w:rFonts w:hint="default" w:ascii="Times New Roman" w:hAnsi="Times New Roman" w:eastAsia="宋体" w:cs="Arial"/>
                <w:color w:val="auto"/>
                <w:sz w:val="21"/>
                <w:szCs w:val="21"/>
                <w:highlight w:val="none"/>
                <w:lang w:val="en-US" w:eastAsia="zh-CN"/>
              </w:rPr>
              <w:t>宣传视频</w:t>
            </w:r>
            <w:r>
              <w:rPr>
                <w:rFonts w:hint="default" w:ascii="Times New Roman" w:hAnsi="Times New Roman" w:eastAsia="宋体" w:cs="Arial"/>
                <w:color w:val="auto"/>
                <w:sz w:val="21"/>
                <w:szCs w:val="21"/>
                <w:highlight w:val="none"/>
              </w:rPr>
              <w:t>摄制方式、</w:t>
            </w:r>
            <w:r>
              <w:rPr>
                <w:rFonts w:hint="eastAsia" w:ascii="Times New Roman" w:hAnsi="Times New Roman" w:eastAsia="宋体" w:cs="Arial"/>
                <w:color w:val="auto"/>
                <w:sz w:val="21"/>
                <w:szCs w:val="21"/>
                <w:highlight w:val="none"/>
                <w:lang w:val="en-US" w:eastAsia="zh-CN"/>
              </w:rPr>
              <w:t>③</w:t>
            </w:r>
            <w:r>
              <w:rPr>
                <w:rFonts w:hint="default" w:ascii="Times New Roman" w:hAnsi="Times New Roman" w:eastAsia="宋体" w:cs="Arial"/>
                <w:color w:val="auto"/>
                <w:sz w:val="21"/>
                <w:szCs w:val="21"/>
                <w:highlight w:val="none"/>
                <w:lang w:val="en-US" w:eastAsia="zh-CN"/>
              </w:rPr>
              <w:t>宣传视频</w:t>
            </w:r>
            <w:r>
              <w:rPr>
                <w:rFonts w:hint="default" w:ascii="Times New Roman" w:hAnsi="Times New Roman" w:eastAsia="宋体" w:cs="Arial"/>
                <w:color w:val="auto"/>
                <w:sz w:val="21"/>
                <w:szCs w:val="21"/>
                <w:highlight w:val="none"/>
              </w:rPr>
              <w:t>视频脚本等内容</w:t>
            </w:r>
            <w:r>
              <w:rPr>
                <w:rFonts w:hint="eastAsia" w:ascii="Times New Roman" w:hAnsi="Times New Roman" w:eastAsia="宋体" w:cs="Arial"/>
                <w:color w:val="auto"/>
                <w:sz w:val="21"/>
                <w:szCs w:val="21"/>
                <w:highlight w:val="none"/>
                <w:lang w:eastAsia="zh-CN"/>
              </w:rPr>
              <w:t>。</w:t>
            </w:r>
            <w:r>
              <w:rPr>
                <w:rFonts w:hint="default" w:ascii="Times New Roman" w:hAnsi="Times New Roman" w:eastAsia="宋体" w:cs="Arial"/>
                <w:color w:val="auto"/>
                <w:sz w:val="21"/>
                <w:szCs w:val="21"/>
                <w:highlight w:val="none"/>
              </w:rPr>
              <w:t>优秀</w:t>
            </w:r>
            <w:r>
              <w:rPr>
                <w:rFonts w:hint="eastAsia" w:ascii="Times New Roman" w:hAnsi="Times New Roman" w:eastAsia="宋体" w:cs="Arial"/>
                <w:color w:val="auto"/>
                <w:sz w:val="21"/>
                <w:szCs w:val="21"/>
                <w:highlight w:val="none"/>
                <w:lang w:val="en-US" w:eastAsia="zh-CN"/>
              </w:rPr>
              <w:t>10</w:t>
            </w:r>
            <w:r>
              <w:rPr>
                <w:rFonts w:hint="default" w:ascii="Times New Roman" w:hAnsi="Times New Roman" w:eastAsia="宋体" w:cs="Arial"/>
                <w:color w:val="auto"/>
                <w:sz w:val="21"/>
                <w:szCs w:val="21"/>
                <w:highlight w:val="none"/>
              </w:rPr>
              <w:t>分；良好</w:t>
            </w:r>
            <w:r>
              <w:rPr>
                <w:rFonts w:hint="eastAsia" w:ascii="Times New Roman" w:hAnsi="Times New Roman" w:eastAsia="宋体" w:cs="Arial"/>
                <w:color w:val="auto"/>
                <w:sz w:val="21"/>
                <w:szCs w:val="21"/>
                <w:highlight w:val="none"/>
                <w:lang w:val="en-US" w:eastAsia="zh-CN"/>
              </w:rPr>
              <w:t>6</w:t>
            </w:r>
            <w:r>
              <w:rPr>
                <w:rFonts w:hint="default" w:ascii="Times New Roman" w:hAnsi="Times New Roman" w:eastAsia="宋体" w:cs="Arial"/>
                <w:color w:val="auto"/>
                <w:sz w:val="21"/>
                <w:szCs w:val="21"/>
                <w:highlight w:val="none"/>
              </w:rPr>
              <w:t>分；一般</w:t>
            </w:r>
            <w:r>
              <w:rPr>
                <w:rFonts w:hint="eastAsia" w:ascii="Times New Roman" w:hAnsi="Times New Roman" w:eastAsia="宋体" w:cs="Arial"/>
                <w:color w:val="auto"/>
                <w:sz w:val="21"/>
                <w:szCs w:val="21"/>
                <w:highlight w:val="none"/>
                <w:lang w:val="en-US" w:eastAsia="zh-CN"/>
              </w:rPr>
              <w:t>3</w:t>
            </w:r>
            <w:r>
              <w:rPr>
                <w:rFonts w:hint="default" w:ascii="Times New Roman" w:hAnsi="Times New Roman" w:eastAsia="宋体" w:cs="Arial"/>
                <w:color w:val="auto"/>
                <w:sz w:val="21"/>
                <w:szCs w:val="21"/>
                <w:highlight w:val="none"/>
              </w:rPr>
              <w:t>分；未提供不得分。</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43E5F229">
            <w:pPr>
              <w:keepNext w:val="0"/>
              <w:keepLines w:val="0"/>
              <w:pageBreakBefore w:val="0"/>
              <w:widowControl w:val="0"/>
              <w:kinsoku/>
              <w:wordWrap/>
              <w:overflowPunct/>
              <w:topLinePunct w:val="0"/>
              <w:bidi w:val="0"/>
              <w:spacing w:after="0" w:line="288"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r>
      <w:tr w14:paraId="1ECC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86" w:type="pct"/>
            <w:tcBorders>
              <w:top w:val="single" w:color="auto" w:sz="4" w:space="0"/>
              <w:left w:val="single" w:color="000000" w:sz="8" w:space="0"/>
              <w:bottom w:val="single" w:color="000000" w:sz="8" w:space="0"/>
              <w:right w:val="single" w:color="000000" w:sz="8" w:space="0"/>
            </w:tcBorders>
            <w:shd w:val="clear" w:color="auto" w:fill="auto"/>
            <w:noWrap/>
            <w:vAlign w:val="center"/>
          </w:tcPr>
          <w:p w14:paraId="54E96C7C">
            <w:pPr>
              <w:keepNext w:val="0"/>
              <w:keepLines w:val="0"/>
              <w:pageBreakBefore w:val="0"/>
              <w:widowControl w:val="0"/>
              <w:kinsoku/>
              <w:wordWrap/>
              <w:overflowPunct/>
              <w:topLinePunct w:val="0"/>
              <w:bidi w:val="0"/>
              <w:spacing w:after="0" w:line="288"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p>
        </w:tc>
        <w:tc>
          <w:tcPr>
            <w:tcW w:w="678" w:type="pct"/>
            <w:tcBorders>
              <w:top w:val="nil"/>
              <w:left w:val="single" w:color="000000" w:sz="8" w:space="0"/>
              <w:bottom w:val="single" w:color="000000" w:sz="8" w:space="0"/>
              <w:right w:val="single" w:color="000000" w:sz="8" w:space="0"/>
            </w:tcBorders>
            <w:shd w:val="clear" w:color="auto" w:fill="auto"/>
            <w:vAlign w:val="center"/>
          </w:tcPr>
          <w:p w14:paraId="102CDA3D">
            <w:pPr>
              <w:keepNext w:val="0"/>
              <w:keepLines w:val="0"/>
              <w:pageBreakBefore w:val="0"/>
              <w:widowControl w:val="0"/>
              <w:kinsoku/>
              <w:wordWrap/>
              <w:overflowPunct/>
              <w:topLinePunct w:val="0"/>
              <w:bidi w:val="0"/>
              <w:spacing w:after="0" w:line="288"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Arial"/>
                <w:color w:val="auto"/>
                <w:kern w:val="2"/>
                <w:sz w:val="21"/>
                <w:szCs w:val="21"/>
                <w:highlight w:val="none"/>
                <w:lang w:val="en-US" w:eastAsia="zh-CN" w:bidi="ar-SA"/>
              </w:rPr>
              <w:t>售后、运维服务承诺评价</w:t>
            </w:r>
          </w:p>
        </w:tc>
        <w:tc>
          <w:tcPr>
            <w:tcW w:w="3636" w:type="pct"/>
            <w:tcBorders>
              <w:top w:val="nil"/>
              <w:left w:val="single" w:color="000000" w:sz="8" w:space="0"/>
              <w:bottom w:val="single" w:color="000000" w:sz="8" w:space="0"/>
              <w:right w:val="single" w:color="000000" w:sz="8" w:space="0"/>
            </w:tcBorders>
            <w:shd w:val="clear" w:color="auto" w:fill="auto"/>
            <w:vAlign w:val="center"/>
          </w:tcPr>
          <w:p w14:paraId="46C5DAA1">
            <w:pPr>
              <w:keepNext w:val="0"/>
              <w:keepLines w:val="0"/>
              <w:pageBreakBefore w:val="0"/>
              <w:kinsoku/>
              <w:wordWrap/>
              <w:overflowPunct/>
              <w:topLinePunct w:val="0"/>
              <w:bidi w:val="0"/>
              <w:spacing w:after="0" w:line="288" w:lineRule="auto"/>
              <w:jc w:val="both"/>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Arial"/>
                <w:color w:val="auto"/>
                <w:sz w:val="21"/>
                <w:szCs w:val="21"/>
                <w:highlight w:val="none"/>
              </w:rPr>
              <w:t>至少包含</w:t>
            </w:r>
            <w:r>
              <w:rPr>
                <w:rFonts w:hint="default" w:ascii="Times New Roman" w:hAnsi="Times New Roman" w:eastAsia="宋体" w:cs="Arial"/>
                <w:color w:val="auto"/>
                <w:sz w:val="21"/>
                <w:szCs w:val="21"/>
                <w:highlight w:val="none"/>
                <w:lang w:val="zh-TW"/>
              </w:rPr>
              <w:t>①</w:t>
            </w:r>
            <w:r>
              <w:rPr>
                <w:rFonts w:hint="default" w:ascii="Times New Roman" w:hAnsi="Times New Roman" w:eastAsia="宋体" w:cs="Arial"/>
                <w:color w:val="auto"/>
                <w:sz w:val="21"/>
                <w:szCs w:val="21"/>
                <w:highlight w:val="none"/>
              </w:rPr>
              <w:t>售后技术支持体系、技术支持方案、</w:t>
            </w:r>
            <w:r>
              <w:rPr>
                <w:rFonts w:hint="default" w:ascii="Times New Roman" w:hAnsi="Times New Roman" w:eastAsia="宋体" w:cs="Arial"/>
                <w:color w:val="auto"/>
                <w:sz w:val="21"/>
                <w:szCs w:val="21"/>
                <w:highlight w:val="none"/>
                <w:lang w:val="zh-TW"/>
              </w:rPr>
              <w:t>②</w:t>
            </w:r>
            <w:r>
              <w:rPr>
                <w:rFonts w:hint="default" w:ascii="Times New Roman" w:hAnsi="Times New Roman" w:eastAsia="宋体" w:cs="Arial"/>
                <w:color w:val="auto"/>
                <w:sz w:val="21"/>
                <w:szCs w:val="21"/>
                <w:highlight w:val="none"/>
              </w:rPr>
              <w:t>售后与运维管理服务人员安排</w:t>
            </w:r>
            <w:r>
              <w:rPr>
                <w:rFonts w:hint="eastAsia" w:ascii="Times New Roman" w:hAnsi="Times New Roman" w:eastAsia="宋体" w:cs="Arial"/>
                <w:color w:val="auto"/>
                <w:sz w:val="21"/>
                <w:szCs w:val="21"/>
                <w:highlight w:val="none"/>
                <w:lang w:eastAsia="zh-CN"/>
              </w:rPr>
              <w:t>，</w:t>
            </w:r>
            <w:r>
              <w:rPr>
                <w:rFonts w:hint="default" w:ascii="Times New Roman" w:hAnsi="Times New Roman" w:eastAsia="宋体" w:cs="Arial"/>
                <w:color w:val="auto"/>
                <w:sz w:val="21"/>
                <w:szCs w:val="21"/>
                <w:highlight w:val="none"/>
              </w:rPr>
              <w:t>针对本项目有专项售后小组、人员和队伍、</w:t>
            </w:r>
            <w:r>
              <w:rPr>
                <w:rFonts w:hint="eastAsia" w:ascii="Times New Roman" w:hAnsi="Times New Roman" w:eastAsia="宋体" w:cs="Arial"/>
                <w:color w:val="auto"/>
                <w:sz w:val="21"/>
                <w:szCs w:val="21"/>
                <w:highlight w:val="none"/>
                <w:lang w:val="en-US" w:eastAsia="zh-CN"/>
              </w:rPr>
              <w:t>③</w:t>
            </w:r>
            <w:r>
              <w:rPr>
                <w:rFonts w:hint="default" w:ascii="Times New Roman" w:hAnsi="Times New Roman" w:eastAsia="宋体" w:cs="Arial"/>
                <w:color w:val="auto"/>
                <w:sz w:val="21"/>
                <w:szCs w:val="21"/>
                <w:highlight w:val="none"/>
              </w:rPr>
              <w:t>响应时间</w:t>
            </w:r>
            <w:r>
              <w:rPr>
                <w:rFonts w:hint="eastAsia" w:ascii="Times New Roman" w:hAnsi="Times New Roman" w:eastAsia="宋体" w:cs="Arial"/>
                <w:color w:val="auto"/>
                <w:sz w:val="21"/>
                <w:szCs w:val="21"/>
                <w:highlight w:val="none"/>
                <w:lang w:eastAsia="zh-CN"/>
              </w:rPr>
              <w:t>，</w:t>
            </w:r>
            <w:r>
              <w:rPr>
                <w:rFonts w:hint="default" w:ascii="Times New Roman" w:hAnsi="Times New Roman" w:eastAsia="宋体" w:cs="Arial"/>
                <w:color w:val="auto"/>
                <w:sz w:val="21"/>
                <w:szCs w:val="21"/>
                <w:highlight w:val="none"/>
              </w:rPr>
              <w:t>满足采购人的各项时限要求等方面内容。优秀10分；良好6分；一般3分；未提供不得分。</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7B19438D">
            <w:pPr>
              <w:keepNext w:val="0"/>
              <w:keepLines w:val="0"/>
              <w:pageBreakBefore w:val="0"/>
              <w:widowControl w:val="0"/>
              <w:kinsoku/>
              <w:wordWrap/>
              <w:overflowPunct/>
              <w:topLinePunct w:val="0"/>
              <w:bidi w:val="0"/>
              <w:spacing w:after="0" w:line="288"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r>
      <w:tr w14:paraId="0D95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1" w:type="pct"/>
            <w:gridSpan w:val="3"/>
            <w:tcBorders>
              <w:top w:val="nil"/>
              <w:left w:val="single" w:color="000000" w:sz="8" w:space="0"/>
              <w:bottom w:val="single" w:color="000000" w:sz="8" w:space="0"/>
              <w:right w:val="single" w:color="000000" w:sz="8" w:space="0"/>
            </w:tcBorders>
            <w:shd w:val="clear" w:color="auto" w:fill="auto"/>
            <w:noWrap/>
            <w:vAlign w:val="center"/>
          </w:tcPr>
          <w:p w14:paraId="5DD16B26">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综合得分</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2DE78573">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100</w:t>
            </w:r>
          </w:p>
        </w:tc>
      </w:tr>
    </w:tbl>
    <w:p w14:paraId="5BA5CA69">
      <w:pPr>
        <w:snapToGrid w:val="0"/>
        <w:spacing w:after="0" w:line="360" w:lineRule="auto"/>
        <w:contextualSpacing/>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备注：评标委员会各评委对有效响应文件按评审标准独立评审打分，投标人最终得分为各评委个人打分的算术平均值（四舍五入后，小数点后保留两位有效数）</w:t>
      </w:r>
    </w:p>
    <w:p w14:paraId="3DF3C93D">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 成交原则：综合评分最高的投标单位确定为成交供应商，若出现得分相同情况，报价较低者优先；若报价仍相同，由评审小组协商确定。</w:t>
      </w:r>
    </w:p>
    <w:p w14:paraId="0B7F7A26">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FF0000"/>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3. 结果公示：成交结果将在院内进行公示，公示期不少于3个工作日。</w:t>
      </w:r>
    </w:p>
    <w:p w14:paraId="1CC5B197">
      <w:pPr>
        <w:pStyle w:val="5"/>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院内比选响应文件内容要求</w:t>
      </w:r>
    </w:p>
    <w:p w14:paraId="3A019A82">
      <w:pPr>
        <w:pageBreakBefore w:val="0"/>
        <w:kinsoku/>
        <w:wordWrap/>
        <w:overflowPunct/>
        <w:topLinePunct w:val="0"/>
        <w:bidi w:val="0"/>
        <w:snapToGrid w:val="0"/>
        <w:spacing w:before="100" w:beforeAutospacing="1" w:after="100" w:afterAutospacing="1" w:line="360" w:lineRule="auto"/>
        <w:ind w:firstLine="480" w:firstLineChars="200"/>
        <w:contextualSpacing/>
        <w:textAlignment w:val="auto"/>
        <w:rPr>
          <w:rFonts w:hint="default" w:ascii="Times New Roman" w:hAnsi="Times New Roman" w:eastAsia="宋体" w:cstheme="minorEastAsia"/>
          <w:color w:val="000000" w:themeColor="text1"/>
          <w:sz w:val="24"/>
          <w:szCs w:val="24"/>
          <w:lang w:val="en-US" w:eastAsia="zh-CN"/>
          <w14:textFill>
            <w14:solidFill>
              <w14:schemeClr w14:val="tx1"/>
            </w14:solidFill>
          </w14:textFill>
        </w:rPr>
      </w:pPr>
      <w:r>
        <w:rPr>
          <w:rFonts w:hint="eastAsia" w:ascii="Times New Roman" w:hAnsi="Times New Roman" w:eastAsia="宋体" w:cstheme="minorEastAsia"/>
          <w:color w:val="000000" w:themeColor="text1"/>
          <w:sz w:val="24"/>
          <w:szCs w:val="24"/>
          <w14:textFill>
            <w14:solidFill>
              <w14:schemeClr w14:val="tx1"/>
            </w14:solidFill>
          </w14:textFill>
        </w:rPr>
        <w:t>院内比选响应文件见附件</w:t>
      </w:r>
      <w:r>
        <w:rPr>
          <w:rFonts w:hint="eastAsia" w:ascii="Times New Roman" w:hAnsi="Times New Roman" w:eastAsia="宋体" w:cstheme="minorEastAsia"/>
          <w:color w:val="000000" w:themeColor="text1"/>
          <w:sz w:val="24"/>
          <w:szCs w:val="24"/>
          <w:lang w:val="en-US" w:eastAsia="zh-CN"/>
          <w14:textFill>
            <w14:solidFill>
              <w14:schemeClr w14:val="tx1"/>
            </w14:solidFill>
          </w14:textFill>
        </w:rPr>
        <w:t>2。</w:t>
      </w:r>
      <w:bookmarkStart w:id="7" w:name="_GoBack"/>
      <w:bookmarkEnd w:id="7"/>
    </w:p>
    <w:p w14:paraId="4DA0268A">
      <w:pPr>
        <w:pStyle w:val="5"/>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信息发布方式</w:t>
      </w:r>
    </w:p>
    <w:p w14:paraId="3CCEF97D">
      <w:pPr>
        <w:pageBreakBefore w:val="0"/>
        <w:kinsoku/>
        <w:wordWrap/>
        <w:overflowPunct/>
        <w:topLinePunct w:val="0"/>
        <w:bidi w:val="0"/>
        <w:snapToGrid w:val="0"/>
        <w:spacing w:before="100" w:beforeAutospacing="1" w:after="100" w:afterAutospacing="1" w:line="360" w:lineRule="auto"/>
        <w:ind w:firstLine="480" w:firstLineChars="200"/>
        <w:contextualSpacing/>
        <w:textAlignment w:val="auto"/>
        <w:rPr>
          <w:rFonts w:hint="eastAsia" w:ascii="Times New Roman" w:hAnsi="Times New Roman" w:eastAsia="宋体" w:cstheme="minorEastAsia"/>
          <w:color w:val="000000" w:themeColor="text1"/>
          <w:sz w:val="24"/>
          <w:szCs w:val="24"/>
          <w14:textFill>
            <w14:solidFill>
              <w14:schemeClr w14:val="tx1"/>
            </w14:solidFill>
          </w14:textFill>
        </w:rPr>
      </w:pPr>
      <w:r>
        <w:rPr>
          <w:rFonts w:hint="eastAsia" w:ascii="Times New Roman" w:hAnsi="Times New Roman" w:eastAsia="宋体" w:cstheme="minorEastAsia"/>
          <w:color w:val="000000" w:themeColor="text1"/>
          <w:sz w:val="24"/>
          <w:szCs w:val="24"/>
          <w14:textFill>
            <w14:solidFill>
              <w14:schemeClr w14:val="tx1"/>
            </w14:solidFill>
          </w14:textFill>
        </w:rPr>
        <w:t>本项目需要公开的有关信息，包括公开比选公告、更正公告、比选结果公告、终止公告等与比选活动有关的通知，采购人均将通过“天津市第一中心医院官网（ https://www.tj-fch.com/ ）”公开发布。</w:t>
      </w:r>
    </w:p>
    <w:p w14:paraId="762510C5">
      <w:pPr>
        <w:pStyle w:val="5"/>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院内比选响应文件递交及现场比选</w:t>
      </w:r>
    </w:p>
    <w:p w14:paraId="419E1D57">
      <w:pPr>
        <w:keepNext w:val="0"/>
        <w:keepLines w:val="0"/>
        <w:pageBreakBefore w:val="0"/>
        <w:widowControl w:val="0"/>
        <w:numPr>
          <w:ilvl w:val="0"/>
          <w:numId w:val="5"/>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000000"/>
          <w:sz w:val="24"/>
          <w:szCs w:val="24"/>
          <w:lang w:val="en-US" w:eastAsia="zh-CN"/>
        </w:rPr>
        <w:t>院内比选响应文件递交截止时</w:t>
      </w:r>
      <w:r>
        <w:rPr>
          <w:rFonts w:hint="eastAsia" w:ascii="Times New Roman" w:hAnsi="Times New Roman" w:eastAsia="宋体" w:cs="等线"/>
          <w:color w:val="auto"/>
          <w:sz w:val="24"/>
          <w:szCs w:val="24"/>
          <w:lang w:val="en-US" w:eastAsia="zh-CN"/>
        </w:rPr>
        <w:t>间：</w:t>
      </w:r>
      <w:r>
        <w:rPr>
          <w:rFonts w:hint="eastAsia" w:ascii="Times New Roman" w:hAnsi="Times New Roman" w:eastAsia="宋体" w:cs="Times New Roman"/>
          <w:color w:val="auto"/>
          <w:kern w:val="0"/>
          <w:sz w:val="24"/>
          <w:szCs w:val="24"/>
          <w:lang w:val="en-US" w:eastAsia="zh-CN" w:bidi="ar-SA"/>
        </w:rPr>
        <w:t>2026年1月26日17:00</w:t>
      </w:r>
      <w:r>
        <w:rPr>
          <w:rFonts w:hint="eastAsia" w:ascii="Times New Roman" w:hAnsi="Times New Roman" w:eastAsia="宋体" w:cs="Times New Roman"/>
          <w:color w:val="auto"/>
          <w:kern w:val="0"/>
          <w:sz w:val="24"/>
          <w:szCs w:val="24"/>
          <w:lang w:val="en-US" w:eastAsia="zh-CN" w:bidi="ar-SA"/>
        </w:rPr>
        <w:t>。</w:t>
      </w:r>
    </w:p>
    <w:p w14:paraId="0BC90685">
      <w:pPr>
        <w:keepNext w:val="0"/>
        <w:keepLines w:val="0"/>
        <w:pageBreakBefore w:val="0"/>
        <w:widowControl w:val="0"/>
        <w:numPr>
          <w:ilvl w:val="0"/>
          <w:numId w:val="5"/>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auto"/>
          <w:sz w:val="24"/>
          <w:szCs w:val="24"/>
          <w:lang w:val="en-US" w:eastAsia="zh-CN"/>
        </w:rPr>
        <w:t>院内比选响应文件递交方式：文件密封后邮寄至天津市第一中心医院（水西院区）设备物资处。</w:t>
      </w:r>
    </w:p>
    <w:p w14:paraId="620B5B18">
      <w:pPr>
        <w:keepNext w:val="0"/>
        <w:keepLines w:val="0"/>
        <w:pageBreakBefore w:val="0"/>
        <w:widowControl w:val="0"/>
        <w:numPr>
          <w:ilvl w:val="0"/>
          <w:numId w:val="5"/>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auto"/>
          <w:sz w:val="24"/>
          <w:szCs w:val="24"/>
          <w:lang w:val="en-US" w:eastAsia="zh-CN"/>
        </w:rPr>
        <w:t>启封院内比选响应文件、现场比选时间：</w:t>
      </w:r>
      <w:r>
        <w:rPr>
          <w:rFonts w:hint="eastAsia" w:ascii="Times New Roman" w:hAnsi="Times New Roman" w:eastAsia="宋体" w:cs="Times New Roman"/>
          <w:color w:val="auto"/>
          <w:kern w:val="0"/>
          <w:sz w:val="24"/>
          <w:szCs w:val="24"/>
          <w:lang w:val="en-US" w:eastAsia="zh-CN" w:bidi="ar-SA"/>
        </w:rPr>
        <w:t>2026年1月27日9:00</w:t>
      </w:r>
      <w:r>
        <w:rPr>
          <w:rFonts w:hint="eastAsia" w:ascii="Times New Roman" w:hAnsi="Times New Roman" w:eastAsia="宋体" w:cs="Times New Roman"/>
          <w:color w:val="auto"/>
          <w:kern w:val="0"/>
          <w:sz w:val="24"/>
          <w:szCs w:val="24"/>
          <w:lang w:val="en-US" w:eastAsia="zh-CN" w:bidi="ar-SA"/>
        </w:rPr>
        <w:t>。</w:t>
      </w:r>
    </w:p>
    <w:p w14:paraId="4FF2278D">
      <w:pPr>
        <w:keepNext w:val="0"/>
        <w:keepLines w:val="0"/>
        <w:pageBreakBefore w:val="0"/>
        <w:widowControl w:val="0"/>
        <w:numPr>
          <w:ilvl w:val="0"/>
          <w:numId w:val="5"/>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auto"/>
          <w:sz w:val="24"/>
          <w:szCs w:val="24"/>
          <w:lang w:val="en-US" w:eastAsia="zh-CN"/>
        </w:rPr>
        <w:t>院内比选地点：天津市第一中心医院（水西院区）设备物资处6楼会议室。</w:t>
      </w:r>
    </w:p>
    <w:p w14:paraId="310C22EC">
      <w:pPr>
        <w:pStyle w:val="5"/>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项目联系方式</w:t>
      </w:r>
    </w:p>
    <w:p w14:paraId="1DC311A0">
      <w:pPr>
        <w:keepNext w:val="0"/>
        <w:keepLines w:val="0"/>
        <w:pageBreakBefore w:val="0"/>
        <w:widowControl w:val="0"/>
        <w:numPr>
          <w:ilvl w:val="0"/>
          <w:numId w:val="6"/>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政务邮箱：</w:t>
      </w:r>
      <w:r>
        <w:rPr>
          <w:rFonts w:hint="eastAsia" w:ascii="Times New Roman" w:hAnsi="Times New Roman" w:eastAsia="宋体" w:cs="等线"/>
          <w:color w:val="000000"/>
          <w:sz w:val="24"/>
          <w:szCs w:val="24"/>
          <w:lang w:val="en-US" w:eastAsia="zh-CN"/>
        </w:rPr>
        <w:fldChar w:fldCharType="begin"/>
      </w:r>
      <w:r>
        <w:rPr>
          <w:rFonts w:hint="eastAsia" w:ascii="Times New Roman" w:hAnsi="Times New Roman" w:eastAsia="宋体" w:cs="等线"/>
          <w:color w:val="000000"/>
          <w:sz w:val="24"/>
          <w:szCs w:val="24"/>
          <w:lang w:val="en-US" w:eastAsia="zh-CN"/>
        </w:rPr>
        <w:instrText xml:space="preserve"> HYPERLINK "mailto:sdyzxsbwzcsbk@tj.gov.cn" </w:instrText>
      </w:r>
      <w:r>
        <w:rPr>
          <w:rFonts w:hint="eastAsia" w:ascii="Times New Roman" w:hAnsi="Times New Roman" w:eastAsia="宋体" w:cs="等线"/>
          <w:color w:val="000000"/>
          <w:sz w:val="24"/>
          <w:szCs w:val="24"/>
          <w:lang w:val="en-US" w:eastAsia="zh-CN"/>
        </w:rPr>
        <w:fldChar w:fldCharType="separate"/>
      </w:r>
      <w:r>
        <w:rPr>
          <w:rStyle w:val="12"/>
          <w:rFonts w:hint="eastAsia" w:ascii="Times New Roman" w:hAnsi="Times New Roman" w:eastAsia="宋体" w:cs="等线"/>
          <w:sz w:val="24"/>
          <w:szCs w:val="24"/>
          <w:lang w:val="en-US" w:eastAsia="zh-CN"/>
        </w:rPr>
        <w:t>sdyzxsbwzcsbk@tj.gov.cn</w:t>
      </w:r>
      <w:r>
        <w:rPr>
          <w:rFonts w:hint="eastAsia" w:ascii="Times New Roman" w:hAnsi="Times New Roman" w:eastAsia="宋体" w:cs="等线"/>
          <w:color w:val="000000"/>
          <w:sz w:val="24"/>
          <w:szCs w:val="24"/>
          <w:lang w:val="en-US" w:eastAsia="zh-CN"/>
        </w:rPr>
        <w:fldChar w:fldCharType="end"/>
      </w:r>
    </w:p>
    <w:p w14:paraId="49228686">
      <w:pPr>
        <w:keepNext w:val="0"/>
        <w:keepLines w:val="0"/>
        <w:pageBreakBefore w:val="0"/>
        <w:widowControl w:val="0"/>
        <w:numPr>
          <w:ilvl w:val="0"/>
          <w:numId w:val="6"/>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地点：天津市西青区保山西道2号</w:t>
      </w:r>
    </w:p>
    <w:p w14:paraId="6BF534F1">
      <w:pPr>
        <w:keepNext w:val="0"/>
        <w:keepLines w:val="0"/>
        <w:pageBreakBefore w:val="0"/>
        <w:widowControl w:val="0"/>
        <w:numPr>
          <w:ilvl w:val="0"/>
          <w:numId w:val="6"/>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bookmarkStart w:id="5" w:name="OLE_LINK1"/>
      <w:bookmarkStart w:id="6" w:name="OLE_LINK2"/>
      <w:r>
        <w:rPr>
          <w:rFonts w:hint="eastAsia" w:ascii="Times New Roman" w:hAnsi="Times New Roman" w:eastAsia="宋体" w:cs="等线"/>
          <w:color w:val="000000"/>
          <w:sz w:val="24"/>
          <w:szCs w:val="24"/>
          <w:lang w:val="en-US" w:eastAsia="zh-CN"/>
        </w:rPr>
        <w:t>联系电话：022-</w:t>
      </w:r>
      <w:bookmarkEnd w:id="5"/>
      <w:bookmarkEnd w:id="6"/>
      <w:r>
        <w:rPr>
          <w:rFonts w:hint="eastAsia" w:ascii="Times New Roman" w:hAnsi="Times New Roman" w:eastAsia="宋体" w:cs="等线"/>
          <w:color w:val="000000"/>
          <w:sz w:val="24"/>
          <w:szCs w:val="24"/>
          <w:lang w:val="en-US" w:eastAsia="zh-CN"/>
        </w:rPr>
        <w:t>23628323</w:t>
      </w:r>
    </w:p>
    <w:p w14:paraId="2E9D8C38">
      <w:pPr>
        <w:keepNext w:val="0"/>
        <w:keepLines w:val="0"/>
        <w:pageBreakBefore w:val="0"/>
        <w:widowControl w:val="0"/>
        <w:numPr>
          <w:ilvl w:val="0"/>
          <w:numId w:val="6"/>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联系人：王老师</w:t>
      </w:r>
    </w:p>
    <w:p w14:paraId="7F47D95E">
      <w:pPr>
        <w:snapToGrid w:val="0"/>
        <w:spacing w:line="360" w:lineRule="auto"/>
        <w:ind w:right="210" w:firstLine="420" w:firstLineChars="200"/>
        <w:contextualSpacing/>
        <w:jc w:val="right"/>
        <w:rPr>
          <w:rFonts w:ascii="Times New Roman" w:hAnsi="Times New Roman"/>
          <w:color w:val="auto"/>
          <w:szCs w:val="21"/>
          <w:shd w:val="clear" w:color="auto" w:fill="FFFFFF"/>
        </w:rPr>
      </w:pPr>
    </w:p>
    <w:p w14:paraId="7DC73615">
      <w:pPr>
        <w:keepNext w:val="0"/>
        <w:keepLines w:val="0"/>
        <w:pageBreakBefore w:val="0"/>
        <w:widowControl w:val="0"/>
        <w:kinsoku/>
        <w:wordWrap/>
        <w:overflowPunct/>
        <w:topLinePunct w:val="0"/>
        <w:autoSpaceDE/>
        <w:autoSpaceDN/>
        <w:bidi w:val="0"/>
        <w:adjustRightInd/>
        <w:snapToGrid w:val="0"/>
        <w:spacing w:before="100" w:beforeAutospacing="1" w:after="100" w:afterAutospacing="1" w:line="360" w:lineRule="auto"/>
        <w:ind w:right="0" w:firstLine="5640" w:firstLineChars="2350"/>
        <w:contextualSpacing/>
        <w:jc w:val="right"/>
        <w:textAlignment w:val="auto"/>
        <w:rPr>
          <w:rFonts w:hint="eastAsia" w:ascii="Times New Roman" w:hAnsi="Times New Roman" w:eastAsia="宋体" w:cstheme="minorEastAsia"/>
          <w:color w:val="auto"/>
          <w:sz w:val="24"/>
          <w:szCs w:val="24"/>
        </w:rPr>
      </w:pPr>
      <w:r>
        <w:rPr>
          <w:rFonts w:hint="eastAsia" w:ascii="Times New Roman" w:hAnsi="Times New Roman" w:eastAsia="宋体" w:cstheme="minorEastAsia"/>
          <w:color w:val="auto"/>
          <w:sz w:val="24"/>
          <w:szCs w:val="24"/>
        </w:rPr>
        <w:t xml:space="preserve"> 天津市第一中心医院</w:t>
      </w:r>
    </w:p>
    <w:p w14:paraId="67585122">
      <w:pPr>
        <w:keepNext w:val="0"/>
        <w:keepLines w:val="0"/>
        <w:pageBreakBefore w:val="0"/>
        <w:widowControl w:val="0"/>
        <w:kinsoku/>
        <w:wordWrap/>
        <w:overflowPunct/>
        <w:topLinePunct w:val="0"/>
        <w:autoSpaceDE/>
        <w:autoSpaceDN/>
        <w:bidi w:val="0"/>
        <w:adjustRightInd/>
        <w:snapToGrid w:val="0"/>
        <w:spacing w:before="100" w:beforeAutospacing="1" w:after="100" w:afterAutospacing="1" w:line="360" w:lineRule="auto"/>
        <w:ind w:right="0" w:firstLine="5640" w:firstLineChars="2350"/>
        <w:contextualSpacing/>
        <w:jc w:val="right"/>
        <w:textAlignment w:val="auto"/>
        <w:rPr>
          <w:rFonts w:ascii="Times New Roman" w:hAnsi="Times New Roman"/>
          <w:color w:val="auto"/>
        </w:rPr>
      </w:pPr>
      <w:r>
        <w:rPr>
          <w:rFonts w:hint="eastAsia" w:ascii="Times New Roman" w:hAnsi="Times New Roman" w:eastAsia="宋体" w:cs="等线"/>
          <w:color w:val="auto"/>
          <w:sz w:val="24"/>
          <w:szCs w:val="24"/>
        </w:rPr>
        <w:t>2026年1月19日</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7C434"/>
    <w:multiLevelType w:val="singleLevel"/>
    <w:tmpl w:val="CA87C434"/>
    <w:lvl w:ilvl="0" w:tentative="0">
      <w:start w:val="1"/>
      <w:numFmt w:val="decimal"/>
      <w:lvlText w:val="%1."/>
      <w:lvlJc w:val="left"/>
      <w:pPr>
        <w:ind w:left="425" w:hanging="425"/>
      </w:pPr>
      <w:rPr>
        <w:rFonts w:hint="default"/>
      </w:rPr>
    </w:lvl>
  </w:abstractNum>
  <w:abstractNum w:abstractNumId="1">
    <w:nsid w:val="1882A39A"/>
    <w:multiLevelType w:val="singleLevel"/>
    <w:tmpl w:val="1882A39A"/>
    <w:lvl w:ilvl="0" w:tentative="0">
      <w:start w:val="1"/>
      <w:numFmt w:val="decimal"/>
      <w:lvlText w:val="%1."/>
      <w:lvlJc w:val="left"/>
      <w:pPr>
        <w:ind w:left="425" w:hanging="425"/>
      </w:pPr>
      <w:rPr>
        <w:rFonts w:hint="default"/>
      </w:rPr>
    </w:lvl>
  </w:abstractNum>
  <w:abstractNum w:abstractNumId="2">
    <w:nsid w:val="26766B7D"/>
    <w:multiLevelType w:val="singleLevel"/>
    <w:tmpl w:val="26766B7D"/>
    <w:lvl w:ilvl="0" w:tentative="0">
      <w:start w:val="1"/>
      <w:numFmt w:val="chineseCounting"/>
      <w:suff w:val="nothing"/>
      <w:lvlText w:val="（%1）"/>
      <w:lvlJc w:val="left"/>
      <w:rPr>
        <w:rFonts w:hint="eastAsia"/>
      </w:rPr>
    </w:lvl>
  </w:abstractNum>
  <w:abstractNum w:abstractNumId="3">
    <w:nsid w:val="2CC0CAFF"/>
    <w:multiLevelType w:val="singleLevel"/>
    <w:tmpl w:val="2CC0CAFF"/>
    <w:lvl w:ilvl="0" w:tentative="0">
      <w:start w:val="1"/>
      <w:numFmt w:val="decimal"/>
      <w:lvlText w:val="%1."/>
      <w:lvlJc w:val="left"/>
      <w:pPr>
        <w:ind w:left="425" w:hanging="425"/>
      </w:pPr>
      <w:rPr>
        <w:rFonts w:hint="default"/>
      </w:rPr>
    </w:lvl>
  </w:abstractNum>
  <w:abstractNum w:abstractNumId="4">
    <w:nsid w:val="3B4828BE"/>
    <w:multiLevelType w:val="singleLevel"/>
    <w:tmpl w:val="3B4828BE"/>
    <w:lvl w:ilvl="0" w:tentative="0">
      <w:start w:val="1"/>
      <w:numFmt w:val="chineseCounting"/>
      <w:suff w:val="nothing"/>
      <w:lvlText w:val="%1、"/>
      <w:lvlJc w:val="left"/>
      <w:pPr>
        <w:ind w:left="6" w:firstLine="420"/>
      </w:pPr>
      <w:rPr>
        <w:rFonts w:hint="eastAsia"/>
        <w:lang w:val="en-US"/>
      </w:rPr>
    </w:lvl>
  </w:abstractNum>
  <w:abstractNum w:abstractNumId="5">
    <w:nsid w:val="65DC517B"/>
    <w:multiLevelType w:val="singleLevel"/>
    <w:tmpl w:val="65DC517B"/>
    <w:lvl w:ilvl="0" w:tentative="0">
      <w:start w:val="3"/>
      <w:numFmt w:val="decimal"/>
      <w:lvlText w:val="%1."/>
      <w:lvlJc w:val="left"/>
      <w:pPr>
        <w:tabs>
          <w:tab w:val="left" w:pos="312"/>
        </w:tabs>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D4E47"/>
    <w:rsid w:val="01157CA4"/>
    <w:rsid w:val="0147611F"/>
    <w:rsid w:val="03320ED0"/>
    <w:rsid w:val="033F615E"/>
    <w:rsid w:val="03625C1A"/>
    <w:rsid w:val="053C5EA1"/>
    <w:rsid w:val="068943A3"/>
    <w:rsid w:val="08BE20A1"/>
    <w:rsid w:val="0A5D4E47"/>
    <w:rsid w:val="0B9F3B52"/>
    <w:rsid w:val="0BE04A65"/>
    <w:rsid w:val="0D9A69E7"/>
    <w:rsid w:val="0E927B6D"/>
    <w:rsid w:val="0EAF1BEC"/>
    <w:rsid w:val="0EFA5139"/>
    <w:rsid w:val="11C07CEF"/>
    <w:rsid w:val="138216AF"/>
    <w:rsid w:val="13A02D2C"/>
    <w:rsid w:val="13D4703D"/>
    <w:rsid w:val="14FB646C"/>
    <w:rsid w:val="158F4E06"/>
    <w:rsid w:val="172440CE"/>
    <w:rsid w:val="173C2D6C"/>
    <w:rsid w:val="183F48C2"/>
    <w:rsid w:val="1F073C5F"/>
    <w:rsid w:val="1F4F7915"/>
    <w:rsid w:val="21334BB1"/>
    <w:rsid w:val="223E208E"/>
    <w:rsid w:val="232B0864"/>
    <w:rsid w:val="252A5F1D"/>
    <w:rsid w:val="33F9355C"/>
    <w:rsid w:val="36DE12F2"/>
    <w:rsid w:val="37666400"/>
    <w:rsid w:val="38DE0CE3"/>
    <w:rsid w:val="39364142"/>
    <w:rsid w:val="3AAD3487"/>
    <w:rsid w:val="3ABE7DBD"/>
    <w:rsid w:val="3CF36A65"/>
    <w:rsid w:val="3D0575D8"/>
    <w:rsid w:val="3DB34092"/>
    <w:rsid w:val="42873880"/>
    <w:rsid w:val="43C024AB"/>
    <w:rsid w:val="4638095D"/>
    <w:rsid w:val="4661564E"/>
    <w:rsid w:val="48D22F2E"/>
    <w:rsid w:val="4B4B027C"/>
    <w:rsid w:val="4B8E0F3E"/>
    <w:rsid w:val="4E10527C"/>
    <w:rsid w:val="4F950C90"/>
    <w:rsid w:val="540A4E77"/>
    <w:rsid w:val="545502B4"/>
    <w:rsid w:val="545D2284"/>
    <w:rsid w:val="55D2387C"/>
    <w:rsid w:val="55EE206A"/>
    <w:rsid w:val="58CF79EF"/>
    <w:rsid w:val="58E635EE"/>
    <w:rsid w:val="5BBB7CD0"/>
    <w:rsid w:val="5E0771FD"/>
    <w:rsid w:val="603F76A6"/>
    <w:rsid w:val="637F2CFA"/>
    <w:rsid w:val="64E440E5"/>
    <w:rsid w:val="652D1859"/>
    <w:rsid w:val="66A346D4"/>
    <w:rsid w:val="69BA220C"/>
    <w:rsid w:val="69DD3414"/>
    <w:rsid w:val="6AA047F3"/>
    <w:rsid w:val="70FF0561"/>
    <w:rsid w:val="724E02C7"/>
    <w:rsid w:val="7256391B"/>
    <w:rsid w:val="771C1FEB"/>
    <w:rsid w:val="777F6D62"/>
    <w:rsid w:val="7A822729"/>
    <w:rsid w:val="7ADC212F"/>
    <w:rsid w:val="7B893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720" w:lineRule="auto"/>
      <w:jc w:val="center"/>
      <w:outlineLvl w:val="0"/>
    </w:pPr>
    <w:rPr>
      <w:b/>
      <w:bCs/>
      <w:kern w:val="44"/>
      <w:sz w:val="28"/>
      <w:szCs w:val="44"/>
    </w:rPr>
  </w:style>
  <w:style w:type="paragraph" w:styleId="5">
    <w:name w:val="heading 2"/>
    <w:basedOn w:val="1"/>
    <w:next w:val="1"/>
    <w:qFormat/>
    <w:uiPriority w:val="0"/>
    <w:pPr>
      <w:keepNext/>
      <w:keepLines/>
      <w:spacing w:line="360" w:lineRule="auto"/>
      <w:ind w:left="100" w:leftChars="100" w:right="100" w:rightChars="100"/>
      <w:jc w:val="left"/>
      <w:outlineLvl w:val="1"/>
    </w:pPr>
    <w:rPr>
      <w:rFonts w:ascii="Arial" w:hAnsi="Arial"/>
      <w:sz w:val="24"/>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next w:val="3"/>
    <w:qFormat/>
    <w:uiPriority w:val="0"/>
    <w:pPr>
      <w:widowControl w:val="0"/>
      <w:tabs>
        <w:tab w:val="center" w:pos="4153"/>
        <w:tab w:val="right" w:pos="8306"/>
      </w:tabs>
      <w:snapToGrid w:val="0"/>
      <w:spacing w:after="120"/>
      <w:jc w:val="left"/>
    </w:pPr>
    <w:rPr>
      <w:rFonts w:ascii="Times New Roman" w:hAnsi="Times New Roman" w:eastAsia="宋体" w:cs="Times New Roman"/>
      <w:kern w:val="2"/>
      <w:sz w:val="18"/>
      <w:szCs w:val="24"/>
      <w:lang w:val="en-US" w:eastAsia="zh-CN" w:bidi="ar-SA"/>
    </w:rPr>
  </w:style>
  <w:style w:type="paragraph" w:styleId="3">
    <w:name w:val="index 5"/>
    <w:next w:val="1"/>
    <w:qFormat/>
    <w:uiPriority w:val="2"/>
    <w:pPr>
      <w:widowControl w:val="0"/>
      <w:spacing w:after="120"/>
      <w:ind w:left="1680"/>
      <w:jc w:val="both"/>
    </w:pPr>
    <w:rPr>
      <w:rFonts w:ascii="Times New Roman" w:hAnsi="Times New Roman" w:eastAsia="宋体" w:cs="Times New Roman"/>
      <w:kern w:val="2"/>
      <w:sz w:val="21"/>
      <w:szCs w:val="24"/>
      <w:lang w:val="en-US" w:eastAsia="zh-CN" w:bidi="ar-SA"/>
    </w:rPr>
  </w:style>
  <w:style w:type="paragraph" w:styleId="6">
    <w:name w:val="toa heading"/>
    <w:next w:val="1"/>
    <w:qFormat/>
    <w:uiPriority w:val="0"/>
    <w:pPr>
      <w:widowControl w:val="0"/>
      <w:spacing w:before="120" w:after="120"/>
      <w:jc w:val="both"/>
    </w:pPr>
    <w:rPr>
      <w:rFonts w:ascii="Arial" w:hAnsi="Arial" w:eastAsia="宋体" w:cs="Arial"/>
      <w:kern w:val="2"/>
      <w:sz w:val="24"/>
      <w:szCs w:val="24"/>
      <w:lang w:val="en-US" w:eastAsia="zh-CN" w:bidi="ar-SA"/>
    </w:rPr>
  </w:style>
  <w:style w:type="paragraph" w:styleId="7">
    <w:name w:val="annotation text"/>
    <w:basedOn w:val="1"/>
    <w:qFormat/>
    <w:uiPriority w:val="0"/>
    <w:pPr>
      <w:jc w:val="left"/>
    </w:pPr>
  </w:style>
  <w:style w:type="paragraph" w:styleId="8">
    <w:name w:val="Body Text"/>
    <w:basedOn w:val="1"/>
    <w:next w:val="1"/>
    <w:qFormat/>
    <w:uiPriority w:val="0"/>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99"/>
    <w:rPr>
      <w:color w:val="0000FF"/>
      <w:u w:val="single"/>
    </w:rPr>
  </w:style>
  <w:style w:type="paragraph" w:customStyle="1" w:styleId="13">
    <w:name w:val="表格文字"/>
    <w:qFormat/>
    <w:uiPriority w:val="0"/>
    <w:pPr>
      <w:widowControl w:val="0"/>
      <w:spacing w:before="25" w:after="25" w:line="360" w:lineRule="auto"/>
      <w:ind w:firstLine="723" w:firstLineChars="200"/>
      <w:jc w:val="left"/>
    </w:pPr>
    <w:rPr>
      <w:rFonts w:ascii="宋体" w:hAnsi="宋体" w:eastAsia="宋体" w:cs="宋体"/>
      <w:bCs/>
      <w:spacing w:val="10"/>
      <w:kern w:val="2"/>
      <w:sz w:val="24"/>
      <w:szCs w:val="24"/>
      <w:lang w:val="en-US" w:eastAsia="zh-CN" w:bidi="ar-SA"/>
    </w:rPr>
  </w:style>
  <w:style w:type="paragraph" w:styleId="14">
    <w:name w:val="List Paragraph"/>
    <w:basedOn w:val="1"/>
    <w:qFormat/>
    <w:uiPriority w:val="34"/>
    <w:pPr>
      <w:ind w:firstLine="420" w:firstLineChars="200"/>
    </w:pPr>
  </w:style>
  <w:style w:type="paragraph" w:customStyle="1" w:styleId="15">
    <w:name w:val="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1381</Words>
  <Characters>1432</Characters>
  <Lines>0</Lines>
  <Paragraphs>0</Paragraphs>
  <TotalTime>33</TotalTime>
  <ScaleCrop>false</ScaleCrop>
  <LinksUpToDate>false</LinksUpToDate>
  <CharactersWithSpaces>1446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2025-06-23T06:21:00Z</dcterms:created>
  <dc:creator>田佳宜</dc:creator>
  <cp:lastModifiedBy>Cher</cp:lastModifiedBy>
  <dcterms:modified xsi:type="dcterms:W3CDTF">2026-01-19T08:23:38Z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94A08A7656F54154883E3A8759515268_13</vt:lpwstr>
  </property>
  <property fmtid="{D5CDD505-2E9C-101B-9397-08002B2CF9AE}" pid="4" name="KSOTemplateDocerSaveRecord">
    <vt:lpwstr>eyJoZGlkIjoiZTI5YTgyZmZhOWZmMDBlYzA0YmY2M2Y0ZGJkYzUxNWMiLCJ1c2VySWQiOiI0OTA4OTEyMDMifQ==</vt:lpwstr>
  </property>
</Properties>
</file>