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0478">
      <w:pPr>
        <w:pageBreakBefore w:val="0"/>
        <w:tabs>
          <w:tab w:val="left" w:pos="360"/>
        </w:tabs>
        <w:kinsoku/>
        <w:wordWrap/>
        <w:overflowPunct/>
        <w:topLinePunct w:val="0"/>
        <w:bidi w:val="0"/>
        <w:spacing w:before="100" w:beforeAutospacing="1" w:after="100" w:afterAutospacing="1" w:line="360" w:lineRule="auto"/>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附件1</w:t>
      </w:r>
    </w:p>
    <w:p w14:paraId="5FD3121B">
      <w:pPr>
        <w:pStyle w:val="3"/>
        <w:pageBreakBefore w:val="0"/>
        <w:kinsoku/>
        <w:wordWrap/>
        <w:overflowPunct/>
        <w:topLinePunct w:val="0"/>
        <w:bidi w:val="0"/>
        <w:spacing w:before="100" w:beforeAutospacing="1" w:after="100" w:afterAutospacing="1" w:line="360" w:lineRule="auto"/>
        <w:contextualSpacing/>
        <w:textAlignment w:val="auto"/>
        <w:rPr>
          <w:rFonts w:hint="eastAsia" w:ascii="Times New Roman" w:hAnsi="Times New Roman" w:eastAsia="黑体" w:cs="黑体"/>
          <w:b w:val="0"/>
          <w:bCs w:val="0"/>
          <w:sz w:val="36"/>
          <w:szCs w:val="36"/>
        </w:rPr>
      </w:pPr>
      <w:r>
        <w:rPr>
          <w:rFonts w:hint="eastAsia" w:ascii="Times New Roman" w:hAnsi="Times New Roman" w:eastAsia="黑体" w:cs="黑体"/>
          <w:b w:val="0"/>
          <w:bCs w:val="0"/>
          <w:sz w:val="36"/>
          <w:szCs w:val="36"/>
        </w:rPr>
        <w:t>天津市第一中心医院</w:t>
      </w:r>
    </w:p>
    <w:p w14:paraId="6D9DE3AF">
      <w:pPr>
        <w:pStyle w:val="3"/>
        <w:pageBreakBefore w:val="0"/>
        <w:kinsoku/>
        <w:wordWrap/>
        <w:overflowPunct/>
        <w:topLinePunct w:val="0"/>
        <w:bidi w:val="0"/>
        <w:spacing w:before="100" w:beforeAutospacing="1" w:after="100" w:afterAutospacing="1" w:line="360" w:lineRule="auto"/>
        <w:contextualSpacing/>
        <w:textAlignment w:val="auto"/>
        <w:rPr>
          <w:rFonts w:ascii="Times New Roman" w:hAnsi="Times New Roman" w:cstheme="minorEastAsia"/>
          <w:color w:val="auto"/>
          <w:sz w:val="21"/>
          <w:szCs w:val="21"/>
        </w:rPr>
      </w:pPr>
      <w:r>
        <w:rPr>
          <w:rFonts w:hint="eastAsia" w:eastAsia="黑体" w:cs="黑体"/>
          <w:b w:val="0"/>
          <w:bCs w:val="0"/>
          <w:sz w:val="36"/>
          <w:szCs w:val="36"/>
          <w:lang w:eastAsia="zh-CN"/>
        </w:rPr>
        <w:t>水西院区窗帘、隔帘采购项目</w:t>
      </w:r>
      <w:r>
        <w:rPr>
          <w:rFonts w:hint="eastAsia" w:ascii="Times New Roman" w:hAnsi="Times New Roman" w:eastAsia="黑体" w:cs="黑体"/>
          <w:b w:val="0"/>
          <w:bCs w:val="0"/>
          <w:sz w:val="36"/>
          <w:szCs w:val="36"/>
        </w:rPr>
        <w:t>院内比选文件</w:t>
      </w:r>
    </w:p>
    <w:p w14:paraId="6137BE5F">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天津市第一中心医院以院内比选方式</w:t>
      </w:r>
      <w:r>
        <w:rPr>
          <w:rFonts w:hint="eastAsia" w:ascii="Times New Roman" w:hAnsi="Times New Roman" w:eastAsia="宋体" w:cstheme="minorEastAsia"/>
          <w:color w:val="000000" w:themeColor="text1"/>
          <w:sz w:val="24"/>
          <w:szCs w:val="24"/>
          <w:lang w:eastAsia="zh-CN"/>
          <w14:textFill>
            <w14:solidFill>
              <w14:schemeClr w14:val="tx1"/>
            </w14:solidFill>
          </w14:textFill>
        </w:rPr>
        <w:t>，对</w:t>
      </w:r>
      <w:bookmarkStart w:id="7" w:name="_GoBack"/>
      <w:bookmarkEnd w:id="7"/>
      <w:r>
        <w:rPr>
          <w:rFonts w:hint="eastAsia" w:cstheme="minorEastAsia"/>
          <w:color w:val="000000" w:themeColor="text1"/>
          <w:sz w:val="24"/>
          <w:szCs w:val="24"/>
          <w:lang w:eastAsia="zh-CN"/>
          <w14:textFill>
            <w14:solidFill>
              <w14:schemeClr w14:val="tx1"/>
            </w14:solidFill>
          </w14:textFill>
        </w:rPr>
        <w:t>水西院区窗帘、隔帘采购项目</w:t>
      </w:r>
      <w:r>
        <w:rPr>
          <w:rFonts w:hint="eastAsia" w:ascii="Times New Roman" w:hAnsi="Times New Roman" w:eastAsia="宋体" w:cstheme="minorEastAsia"/>
          <w:color w:val="000000" w:themeColor="text1"/>
          <w:sz w:val="24"/>
          <w:szCs w:val="24"/>
          <w14:textFill>
            <w14:solidFill>
              <w14:schemeClr w14:val="tx1"/>
            </w14:solidFill>
          </w14:textFill>
        </w:rPr>
        <w:t>实施采购，采用综合评分法，选取一名供应商。</w:t>
      </w:r>
    </w:p>
    <w:p w14:paraId="2181CEB8">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项目名称及编号</w:t>
      </w:r>
    </w:p>
    <w:p w14:paraId="0CFB1A7B">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项目名称：天津市第一中心医院</w:t>
      </w:r>
      <w:r>
        <w:rPr>
          <w:rFonts w:hint="eastAsia" w:cs="等线"/>
          <w:color w:val="000000"/>
          <w:sz w:val="24"/>
          <w:szCs w:val="24"/>
          <w:lang w:val="en-US" w:eastAsia="zh-CN"/>
        </w:rPr>
        <w:t>水西院区窗帘、隔帘采购项目</w:t>
      </w:r>
      <w:r>
        <w:rPr>
          <w:rFonts w:hint="eastAsia" w:ascii="Times New Roman" w:hAnsi="Times New Roman" w:eastAsia="宋体" w:cs="等线"/>
          <w:color w:val="000000"/>
          <w:sz w:val="24"/>
          <w:szCs w:val="24"/>
          <w:lang w:val="en-US" w:eastAsia="zh-CN"/>
        </w:rPr>
        <w:t>。</w:t>
      </w:r>
    </w:p>
    <w:p w14:paraId="4A7114BA">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项目编号：</w:t>
      </w:r>
      <w:r>
        <w:rPr>
          <w:rFonts w:hint="eastAsia" w:cs="等线"/>
          <w:color w:val="000000"/>
          <w:sz w:val="24"/>
          <w:szCs w:val="24"/>
          <w:lang w:val="en-US" w:eastAsia="zh-CN"/>
        </w:rPr>
        <w:t>YNBX-2025-G-6004</w:t>
      </w:r>
      <w:r>
        <w:rPr>
          <w:rFonts w:hint="eastAsia" w:ascii="Times New Roman" w:hAnsi="Times New Roman" w:eastAsia="宋体" w:cs="等线"/>
          <w:color w:val="000000"/>
          <w:sz w:val="24"/>
          <w:szCs w:val="24"/>
          <w:lang w:val="en-US" w:eastAsia="zh-CN"/>
        </w:rPr>
        <w:t>。</w:t>
      </w:r>
    </w:p>
    <w:p w14:paraId="6A8459D5">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项目预算</w:t>
      </w:r>
      <w:r>
        <w:rPr>
          <w:rFonts w:hint="eastAsia" w:ascii="Times New Roman" w:hAnsi="Times New Roman" w:eastAsia="宋体" w:cs="等线"/>
          <w:color w:val="auto"/>
          <w:sz w:val="24"/>
          <w:szCs w:val="24"/>
          <w:lang w:val="en-US" w:eastAsia="zh-CN"/>
        </w:rPr>
        <w:t>：</w:t>
      </w:r>
      <w:r>
        <w:rPr>
          <w:rFonts w:hint="eastAsia" w:cs="等线"/>
          <w:color w:val="auto"/>
          <w:sz w:val="24"/>
          <w:szCs w:val="24"/>
          <w:lang w:val="en-US" w:eastAsia="zh-CN"/>
        </w:rPr>
        <w:t>60</w:t>
      </w:r>
      <w:r>
        <w:rPr>
          <w:rFonts w:hint="eastAsia" w:ascii="Times New Roman" w:hAnsi="Times New Roman" w:eastAsia="宋体" w:cs="等线"/>
          <w:color w:val="auto"/>
          <w:sz w:val="24"/>
          <w:szCs w:val="24"/>
          <w:lang w:val="en-US" w:eastAsia="zh-CN"/>
        </w:rPr>
        <w:t>000元，报</w:t>
      </w:r>
      <w:r>
        <w:rPr>
          <w:rFonts w:hint="eastAsia" w:ascii="Times New Roman" w:hAnsi="Times New Roman" w:eastAsia="宋体" w:cs="等线"/>
          <w:color w:val="000000"/>
          <w:sz w:val="24"/>
          <w:szCs w:val="24"/>
          <w:lang w:val="en-US" w:eastAsia="zh-CN"/>
        </w:rPr>
        <w:t>价超过最高限价无效。</w:t>
      </w:r>
    </w:p>
    <w:p w14:paraId="58ABFB2C">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项目内容、数量、预算及技术指标</w:t>
      </w:r>
    </w:p>
    <w:tbl>
      <w:tblPr>
        <w:tblStyle w:val="7"/>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00"/>
        <w:gridCol w:w="735"/>
        <w:gridCol w:w="750"/>
        <w:gridCol w:w="765"/>
        <w:gridCol w:w="4530"/>
        <w:gridCol w:w="1206"/>
      </w:tblGrid>
      <w:tr w14:paraId="1EBE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3" w:type="dxa"/>
            <w:shd w:val="clear" w:color="auto" w:fill="auto"/>
            <w:vAlign w:val="center"/>
          </w:tcPr>
          <w:p w14:paraId="47AB3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序号</w:t>
            </w:r>
          </w:p>
        </w:tc>
        <w:tc>
          <w:tcPr>
            <w:tcW w:w="1200" w:type="dxa"/>
            <w:shd w:val="clear" w:color="auto" w:fill="auto"/>
            <w:vAlign w:val="center"/>
          </w:tcPr>
          <w:p w14:paraId="7814DA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项目内容</w:t>
            </w:r>
          </w:p>
        </w:tc>
        <w:tc>
          <w:tcPr>
            <w:tcW w:w="735" w:type="dxa"/>
            <w:shd w:val="clear" w:color="auto" w:fill="auto"/>
            <w:vAlign w:val="center"/>
          </w:tcPr>
          <w:p w14:paraId="5A63D4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数量</w:t>
            </w:r>
          </w:p>
        </w:tc>
        <w:tc>
          <w:tcPr>
            <w:tcW w:w="750" w:type="dxa"/>
            <w:shd w:val="clear" w:color="auto" w:fill="auto"/>
            <w:vAlign w:val="center"/>
          </w:tcPr>
          <w:p w14:paraId="5BEC60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lang w:eastAsia="zh-CN"/>
              </w:rPr>
            </w:pPr>
            <w:r>
              <w:rPr>
                <w:rFonts w:hint="eastAsia" w:ascii="Times New Roman" w:hAnsi="Times New Roman" w:eastAsia="仿宋" w:cs="仿宋"/>
                <w:b/>
                <w:bCs/>
                <w:color w:val="auto"/>
                <w:sz w:val="24"/>
                <w:szCs w:val="24"/>
                <w:lang w:eastAsia="zh-CN"/>
              </w:rPr>
              <w:t>单位</w:t>
            </w:r>
          </w:p>
        </w:tc>
        <w:tc>
          <w:tcPr>
            <w:tcW w:w="765" w:type="dxa"/>
            <w:shd w:val="clear" w:color="auto" w:fill="auto"/>
            <w:vAlign w:val="center"/>
          </w:tcPr>
          <w:p w14:paraId="032C8B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lang w:eastAsia="zh-CN"/>
              </w:rPr>
            </w:pPr>
            <w:r>
              <w:rPr>
                <w:rFonts w:hint="eastAsia" w:ascii="Times New Roman" w:hAnsi="Times New Roman" w:eastAsia="仿宋" w:cs="仿宋"/>
                <w:b/>
                <w:bCs/>
                <w:color w:val="auto"/>
                <w:sz w:val="24"/>
                <w:szCs w:val="24"/>
                <w:lang w:eastAsia="zh-CN"/>
              </w:rPr>
              <w:t>标的类型</w:t>
            </w:r>
          </w:p>
        </w:tc>
        <w:tc>
          <w:tcPr>
            <w:tcW w:w="4530" w:type="dxa"/>
            <w:shd w:val="clear" w:color="auto" w:fill="auto"/>
            <w:vAlign w:val="center"/>
          </w:tcPr>
          <w:p w14:paraId="243F0D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技术需求</w:t>
            </w:r>
          </w:p>
        </w:tc>
        <w:tc>
          <w:tcPr>
            <w:tcW w:w="1206" w:type="dxa"/>
            <w:shd w:val="clear" w:color="auto" w:fill="auto"/>
            <w:vAlign w:val="center"/>
          </w:tcPr>
          <w:p w14:paraId="5F4537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预算金额（万元）</w:t>
            </w:r>
          </w:p>
        </w:tc>
      </w:tr>
      <w:tr w14:paraId="0FA6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3" w:type="dxa"/>
            <w:shd w:val="clear" w:color="auto" w:fill="auto"/>
            <w:vAlign w:val="center"/>
          </w:tcPr>
          <w:p w14:paraId="59227B29">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p>
        </w:tc>
        <w:tc>
          <w:tcPr>
            <w:tcW w:w="1200" w:type="dxa"/>
            <w:shd w:val="clear" w:color="auto" w:fill="auto"/>
            <w:vAlign w:val="center"/>
          </w:tcPr>
          <w:p w14:paraId="0A0B9B21">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eastAsia="zh-CN"/>
              </w:rPr>
            </w:pPr>
            <w:r>
              <w:rPr>
                <w:rFonts w:hint="eastAsia" w:eastAsia="仿宋" w:cs="仿宋"/>
                <w:color w:val="auto"/>
                <w:sz w:val="24"/>
                <w:szCs w:val="24"/>
                <w:lang w:eastAsia="zh-CN"/>
              </w:rPr>
              <w:t>窗帘</w:t>
            </w:r>
          </w:p>
        </w:tc>
        <w:tc>
          <w:tcPr>
            <w:tcW w:w="735" w:type="dxa"/>
            <w:shd w:val="clear" w:color="auto" w:fill="auto"/>
            <w:vAlign w:val="center"/>
          </w:tcPr>
          <w:p w14:paraId="7011ACC4">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default" w:ascii="Times New Roman" w:hAnsi="Times New Roman" w:eastAsia="仿宋" w:cs="仿宋"/>
                <w:color w:val="auto"/>
                <w:sz w:val="24"/>
                <w:szCs w:val="24"/>
                <w:lang w:val="en-US" w:eastAsia="zh-CN"/>
              </w:rPr>
            </w:pPr>
            <w:r>
              <w:rPr>
                <w:rFonts w:hint="eastAsia" w:eastAsia="仿宋" w:cs="仿宋"/>
                <w:color w:val="auto"/>
                <w:sz w:val="24"/>
                <w:szCs w:val="24"/>
                <w:lang w:val="en-US" w:eastAsia="zh-CN"/>
              </w:rPr>
              <w:t>34</w:t>
            </w:r>
          </w:p>
        </w:tc>
        <w:tc>
          <w:tcPr>
            <w:tcW w:w="750" w:type="dxa"/>
            <w:shd w:val="clear" w:color="auto" w:fill="auto"/>
            <w:vAlign w:val="center"/>
          </w:tcPr>
          <w:p w14:paraId="0C249E3B">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val="en-US" w:eastAsia="zh-CN"/>
              </w:rPr>
            </w:pPr>
            <w:r>
              <w:rPr>
                <w:rFonts w:hint="eastAsia" w:eastAsia="仿宋" w:cs="仿宋"/>
                <w:color w:val="auto"/>
                <w:sz w:val="24"/>
                <w:szCs w:val="24"/>
                <w:lang w:val="en-US" w:eastAsia="zh-CN"/>
              </w:rPr>
              <w:t>条</w:t>
            </w:r>
          </w:p>
        </w:tc>
        <w:tc>
          <w:tcPr>
            <w:tcW w:w="765" w:type="dxa"/>
            <w:shd w:val="clear" w:color="auto" w:fill="auto"/>
            <w:vAlign w:val="center"/>
          </w:tcPr>
          <w:p w14:paraId="24438C9A">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货物</w:t>
            </w:r>
          </w:p>
        </w:tc>
        <w:tc>
          <w:tcPr>
            <w:tcW w:w="4530" w:type="dxa"/>
            <w:shd w:val="clear" w:color="auto" w:fill="auto"/>
            <w:vAlign w:val="center"/>
          </w:tcPr>
          <w:p w14:paraId="0A500A8A">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1、★宽3300*高2950mm  32条</w:t>
            </w:r>
          </w:p>
          <w:p w14:paraId="1CB23ACB">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2700*高2950mm  2条</w:t>
            </w:r>
          </w:p>
          <w:p w14:paraId="2CDF34C7">
            <w:pPr>
              <w:pStyle w:val="2"/>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材质：100%聚酯纤维、环保材质</w:t>
            </w:r>
          </w:p>
          <w:p w14:paraId="471FBE41">
            <w:pPr>
              <w:pStyle w:val="2"/>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克重（称重）：（门幅2.8米）≥850g/m</w:t>
            </w:r>
          </w:p>
        </w:tc>
        <w:tc>
          <w:tcPr>
            <w:tcW w:w="1206" w:type="dxa"/>
            <w:vMerge w:val="restart"/>
            <w:shd w:val="clear" w:color="auto" w:fill="auto"/>
            <w:vAlign w:val="center"/>
          </w:tcPr>
          <w:p w14:paraId="6DDF26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eastAsia="仿宋" w:cs="仿宋"/>
                <w:color w:val="auto"/>
                <w:sz w:val="24"/>
                <w:szCs w:val="24"/>
                <w:lang w:val="en-US" w:eastAsia="zh-CN"/>
              </w:rPr>
              <w:t>6</w:t>
            </w:r>
          </w:p>
        </w:tc>
      </w:tr>
      <w:tr w14:paraId="771C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3" w:type="dxa"/>
            <w:shd w:val="clear" w:color="auto" w:fill="auto"/>
            <w:vAlign w:val="center"/>
          </w:tcPr>
          <w:p w14:paraId="1F00A4C4">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w:t>
            </w:r>
          </w:p>
        </w:tc>
        <w:tc>
          <w:tcPr>
            <w:tcW w:w="1200" w:type="dxa"/>
            <w:shd w:val="clear" w:color="auto" w:fill="auto"/>
            <w:vAlign w:val="center"/>
          </w:tcPr>
          <w:p w14:paraId="02C119BA">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eastAsia="zh-CN"/>
              </w:rPr>
            </w:pPr>
            <w:r>
              <w:rPr>
                <w:rFonts w:hint="eastAsia" w:eastAsia="仿宋" w:cs="仿宋"/>
                <w:color w:val="auto"/>
                <w:sz w:val="24"/>
                <w:szCs w:val="24"/>
                <w:lang w:eastAsia="zh-CN"/>
              </w:rPr>
              <w:t>隔帘</w:t>
            </w:r>
          </w:p>
        </w:tc>
        <w:tc>
          <w:tcPr>
            <w:tcW w:w="735" w:type="dxa"/>
            <w:shd w:val="clear" w:color="auto" w:fill="auto"/>
            <w:vAlign w:val="center"/>
          </w:tcPr>
          <w:p w14:paraId="0A72F475">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default" w:ascii="Times New Roman" w:hAnsi="Times New Roman" w:eastAsia="仿宋" w:cs="仿宋"/>
                <w:color w:val="auto"/>
                <w:sz w:val="24"/>
                <w:szCs w:val="24"/>
                <w:lang w:val="en-US" w:eastAsia="zh-CN"/>
              </w:rPr>
            </w:pPr>
            <w:r>
              <w:rPr>
                <w:rFonts w:hint="eastAsia" w:eastAsia="仿宋" w:cs="仿宋"/>
                <w:color w:val="auto"/>
                <w:sz w:val="24"/>
                <w:szCs w:val="24"/>
                <w:lang w:val="en-US" w:eastAsia="zh-CN"/>
              </w:rPr>
              <w:t>134</w:t>
            </w:r>
          </w:p>
        </w:tc>
        <w:tc>
          <w:tcPr>
            <w:tcW w:w="750" w:type="dxa"/>
            <w:shd w:val="clear" w:color="auto" w:fill="auto"/>
            <w:vAlign w:val="center"/>
          </w:tcPr>
          <w:p w14:paraId="014FE485">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eastAsia="zh-CN"/>
              </w:rPr>
            </w:pPr>
            <w:r>
              <w:rPr>
                <w:rFonts w:hint="eastAsia" w:eastAsia="仿宋" w:cs="仿宋"/>
                <w:color w:val="auto"/>
                <w:sz w:val="24"/>
                <w:szCs w:val="24"/>
                <w:lang w:eastAsia="zh-CN"/>
              </w:rPr>
              <w:t>条</w:t>
            </w:r>
          </w:p>
        </w:tc>
        <w:tc>
          <w:tcPr>
            <w:tcW w:w="765" w:type="dxa"/>
            <w:shd w:val="clear" w:color="auto" w:fill="auto"/>
            <w:vAlign w:val="center"/>
          </w:tcPr>
          <w:p w14:paraId="6817C7DB">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货物</w:t>
            </w:r>
          </w:p>
        </w:tc>
        <w:tc>
          <w:tcPr>
            <w:tcW w:w="4530" w:type="dxa"/>
            <w:shd w:val="clear" w:color="auto" w:fill="auto"/>
            <w:vAlign w:val="center"/>
          </w:tcPr>
          <w:p w14:paraId="78BC61DB">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6000*高3060mm  20条</w:t>
            </w:r>
          </w:p>
          <w:p w14:paraId="46D683AA">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5000*高2800mm  25条</w:t>
            </w:r>
          </w:p>
          <w:p w14:paraId="1E09383D">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3、</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6000*高2600mm  47条</w:t>
            </w:r>
          </w:p>
          <w:p w14:paraId="25C5DE44">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4、</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12500*高2200mm  1条</w:t>
            </w:r>
          </w:p>
          <w:p w14:paraId="052B7470">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5、</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3800*高2200mm  15条</w:t>
            </w:r>
          </w:p>
          <w:p w14:paraId="21F43A53">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6、</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5000*高2200mm  7条</w:t>
            </w:r>
          </w:p>
          <w:p w14:paraId="395AD426">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7、</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6000*高2200mm  8条</w:t>
            </w:r>
          </w:p>
          <w:p w14:paraId="7FD25FFD">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8、</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6500*高2600mm  10条</w:t>
            </w:r>
          </w:p>
          <w:p w14:paraId="127BBE2E">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9、</w:t>
            </w:r>
            <w:r>
              <w:rPr>
                <w:rFonts w:hint="eastAsia" w:eastAsia="仿宋" w:cs="仿宋"/>
                <w:color w:val="auto"/>
                <w:sz w:val="24"/>
                <w:szCs w:val="24"/>
                <w:lang w:val="en-US" w:eastAsia="zh-CN"/>
              </w:rPr>
              <w:t>★宽</w:t>
            </w:r>
            <w:r>
              <w:rPr>
                <w:rFonts w:hint="eastAsia" w:ascii="Times New Roman" w:hAnsi="Times New Roman" w:eastAsia="仿宋" w:cs="仿宋"/>
                <w:color w:val="auto"/>
                <w:sz w:val="24"/>
                <w:szCs w:val="24"/>
                <w:lang w:val="en-US" w:eastAsia="zh-CN"/>
              </w:rPr>
              <w:t>4200*高2600mm  1条</w:t>
            </w:r>
          </w:p>
          <w:p w14:paraId="6A22B98D">
            <w:pPr>
              <w:pStyle w:val="2"/>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材质：100%聚酯纤维、环保材质</w:t>
            </w:r>
          </w:p>
          <w:p w14:paraId="7AF9EB21">
            <w:pPr>
              <w:pStyle w:val="2"/>
              <w:keepNext w:val="0"/>
              <w:keepLines w:val="0"/>
              <w:pageBreakBefore w:val="0"/>
              <w:widowControl w:val="0"/>
              <w:kinsoku/>
              <w:wordWrap/>
              <w:overflowPunct/>
              <w:topLinePunct w:val="0"/>
              <w:autoSpaceDE/>
              <w:autoSpaceDN/>
              <w:bidi w:val="0"/>
              <w:adjustRightInd/>
              <w:snapToGrid/>
              <w:spacing w:before="0" w:after="0" w:line="312" w:lineRule="auto"/>
              <w:textAlignment w:val="auto"/>
              <w:rPr>
                <w:rFonts w:hint="eastAsia"/>
                <w:color w:val="auto"/>
                <w:lang w:val="en-US" w:eastAsia="zh-CN"/>
              </w:rPr>
            </w:pPr>
            <w:r>
              <w:rPr>
                <w:rFonts w:hint="eastAsia" w:ascii="Times New Roman" w:hAnsi="Times New Roman" w:eastAsia="仿宋" w:cs="仿宋"/>
                <w:color w:val="auto"/>
                <w:sz w:val="24"/>
                <w:szCs w:val="24"/>
                <w:lang w:val="en-US" w:eastAsia="zh-CN"/>
              </w:rPr>
              <w:t>克重（称重）：（门幅2.8米）≥850g/m</w:t>
            </w:r>
          </w:p>
        </w:tc>
        <w:tc>
          <w:tcPr>
            <w:tcW w:w="1206" w:type="dxa"/>
            <w:vMerge w:val="continue"/>
            <w:shd w:val="clear" w:color="auto" w:fill="auto"/>
            <w:vAlign w:val="center"/>
          </w:tcPr>
          <w:p w14:paraId="698AAC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p>
        </w:tc>
      </w:tr>
    </w:tbl>
    <w:p w14:paraId="289F1857">
      <w:pPr>
        <w:snapToGrid w:val="0"/>
        <w:spacing w:after="0" w:line="360" w:lineRule="auto"/>
        <w:contextualSpacing/>
        <w:rPr>
          <w:rFonts w:ascii="Times New Roman" w:hAnsi="Times New Roman" w:cs="宋体"/>
          <w:color w:val="auto"/>
          <w:kern w:val="0"/>
          <w:szCs w:val="21"/>
        </w:rPr>
      </w:pPr>
      <w:bookmarkStart w:id="0" w:name="OLE_LINK16"/>
      <w:bookmarkStart w:id="1" w:name="OLE_LINK19"/>
      <w:bookmarkStart w:id="2" w:name="_Toc537"/>
      <w:r>
        <w:rPr>
          <w:rFonts w:hint="eastAsia" w:ascii="Times New Roman" w:hAnsi="Times New Roman" w:cs="宋体"/>
          <w:color w:val="auto"/>
          <w:kern w:val="0"/>
          <w:szCs w:val="21"/>
        </w:rPr>
        <w:t>注：</w:t>
      </w:r>
      <w:r>
        <w:rPr>
          <w:rFonts w:hint="eastAsia" w:ascii="Times New Roman" w:hAnsi="Times New Roman" w:cs="宋体"/>
          <w:color w:val="auto"/>
          <w:szCs w:val="21"/>
        </w:rPr>
        <w:t>投标人所报价格为完成本项目全部服务要求的最终优惠价格。</w:t>
      </w:r>
      <w:bookmarkEnd w:id="0"/>
      <w:bookmarkEnd w:id="1"/>
      <w:r>
        <w:rPr>
          <w:rFonts w:hint="eastAsia" w:ascii="Times New Roman" w:hAnsi="Times New Roman" w:cs="宋体"/>
          <w:color w:val="auto"/>
          <w:kern w:val="0"/>
          <w:szCs w:val="21"/>
        </w:rPr>
        <w:t>本项目设置最高投标限价。如投标人所报价格（包括</w:t>
      </w:r>
      <w:r>
        <w:rPr>
          <w:rFonts w:ascii="Times New Roman" w:hAnsi="Times New Roman" w:cs="宋体"/>
          <w:color w:val="auto"/>
          <w:kern w:val="0"/>
          <w:szCs w:val="21"/>
        </w:rPr>
        <w:t>分项价格</w:t>
      </w:r>
      <w:r>
        <w:rPr>
          <w:rFonts w:hint="eastAsia" w:ascii="Times New Roman" w:hAnsi="Times New Roman" w:cs="宋体"/>
          <w:color w:val="auto"/>
          <w:kern w:val="0"/>
          <w:szCs w:val="21"/>
        </w:rPr>
        <w:t>）高于最高投标限价的，其投标将被否决。</w:t>
      </w:r>
    </w:p>
    <w:bookmarkEnd w:id="2"/>
    <w:p w14:paraId="3E32F393">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投标人实质性资格要求</w:t>
      </w:r>
    </w:p>
    <w:p w14:paraId="141BB9CE">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ascii="Times New Roman" w:hAnsi="Times New Roman" w:eastAsia="宋体" w:cs="Times New Roman"/>
          <w:color w:val="auto"/>
          <w:kern w:val="0"/>
          <w:sz w:val="24"/>
          <w:szCs w:val="24"/>
          <w:lang w:val="en-US" w:eastAsia="zh-CN" w:bidi="ar-SA"/>
        </w:rPr>
      </w:pPr>
      <w:bookmarkStart w:id="3" w:name="_Toc26998"/>
      <w:bookmarkStart w:id="4" w:name="_Toc11335"/>
      <w:r>
        <w:rPr>
          <w:rFonts w:hint="eastAsia" w:ascii="Times New Roman" w:hAnsi="Times New Roman" w:eastAsia="宋体" w:cs="Times New Roman"/>
          <w:color w:val="auto"/>
          <w:kern w:val="0"/>
          <w:sz w:val="24"/>
          <w:szCs w:val="24"/>
          <w:lang w:val="en-US" w:eastAsia="zh-CN" w:bidi="ar-SA"/>
        </w:rPr>
        <w:t>参照《中华人民共和国政府采购法》第二十二条第一款规定的条件，投标人须具备提供以下材料：</w:t>
      </w:r>
    </w:p>
    <w:p w14:paraId="42D12DBA">
      <w:pPr>
        <w:widowControl w:val="0"/>
        <w:autoSpaceDE w:val="0"/>
        <w:autoSpaceDN w:val="0"/>
        <w:adjustRightInd w:val="0"/>
        <w:spacing w:after="120"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1. </w:t>
      </w:r>
      <w:r>
        <w:rPr>
          <w:rFonts w:hint="eastAsia" w:ascii="Times New Roman" w:hAnsi="Times New Roman" w:eastAsia="宋体" w:cs="Times New Roman"/>
          <w:color w:val="auto"/>
          <w:kern w:val="0"/>
          <w:sz w:val="24"/>
          <w:szCs w:val="24"/>
          <w:lang w:val="en-US" w:eastAsia="zh-CN" w:bidi="ar-SA"/>
        </w:rPr>
        <w:t>营业执照副本或事业单位法人证书或民办非企业单位登记证书或社会团体法人登记证书或基金会法人登记证书扫描件或自然人的身份证明扫描件。</w:t>
      </w:r>
    </w:p>
    <w:p w14:paraId="2B3DDF25">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2. </w:t>
      </w:r>
      <w:r>
        <w:rPr>
          <w:rFonts w:hint="eastAsia" w:ascii="Times New Roman" w:hAnsi="Times New Roman" w:eastAsia="宋体" w:cs="Times New Roman"/>
          <w:color w:val="auto"/>
          <w:kern w:val="0"/>
          <w:sz w:val="24"/>
          <w:szCs w:val="24"/>
          <w:lang w:val="en-US" w:eastAsia="zh-CN" w:bidi="ar-SA"/>
        </w:rPr>
        <w:t>具有良好的商业信誉和健全的财务会计制度的书面声明。</w:t>
      </w:r>
    </w:p>
    <w:p w14:paraId="7679161B">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3. </w:t>
      </w:r>
      <w:r>
        <w:rPr>
          <w:rFonts w:hint="eastAsia" w:ascii="Times New Roman" w:hAnsi="Times New Roman" w:eastAsia="宋体" w:cs="Times New Roman"/>
          <w:color w:val="auto"/>
          <w:kern w:val="0"/>
          <w:sz w:val="24"/>
          <w:szCs w:val="24"/>
          <w:lang w:val="en-US" w:eastAsia="zh-CN" w:bidi="ar-SA"/>
        </w:rPr>
        <w:t>依法缴纳税收和社会保障资金的书面声明。</w:t>
      </w:r>
    </w:p>
    <w:p w14:paraId="59188E5B">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4. </w:t>
      </w:r>
      <w:r>
        <w:rPr>
          <w:rFonts w:hint="eastAsia" w:ascii="Times New Roman" w:hAnsi="Times New Roman" w:eastAsia="宋体" w:cs="Times New Roman"/>
          <w:color w:val="auto"/>
          <w:kern w:val="0"/>
          <w:sz w:val="24"/>
          <w:szCs w:val="24"/>
          <w:lang w:val="en-US" w:eastAsia="zh-CN" w:bidi="ar-SA"/>
        </w:rPr>
        <w:t>投标截止日前</w:t>
      </w:r>
      <w:r>
        <w:rPr>
          <w:rFonts w:ascii="Times New Roman" w:hAnsi="Times New Roman" w:eastAsia="宋体"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年在经营活动中没有重大违法记录的书面声明（截至开标日成立不足</w:t>
      </w:r>
      <w:r>
        <w:rPr>
          <w:rFonts w:ascii="Times New Roman" w:hAnsi="Times New Roman" w:eastAsia="宋体"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年的供应商可提供自成立以来无重大违法记录的书面声明）。</w:t>
      </w:r>
    </w:p>
    <w:p w14:paraId="4F4DA682">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5. </w:t>
      </w:r>
      <w:r>
        <w:rPr>
          <w:rFonts w:hint="eastAsia" w:ascii="Times New Roman" w:hAnsi="Times New Roman" w:eastAsia="宋体" w:cs="Times New Roman"/>
          <w:color w:val="auto"/>
          <w:kern w:val="0"/>
          <w:sz w:val="24"/>
          <w:szCs w:val="24"/>
          <w:lang w:val="en-US" w:eastAsia="zh-CN" w:bidi="ar-SA"/>
        </w:rPr>
        <w:t>提交具备履行合同所必需的设备和专业技术能力证明材料。</w:t>
      </w:r>
    </w:p>
    <w:p w14:paraId="5C9BD420">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*以上内容均需加盖公章</w:t>
      </w:r>
    </w:p>
    <w:p w14:paraId="2E4C0A46">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eastAsia="zh-CN"/>
          <w14:textFill>
            <w14:solidFill>
              <w14:schemeClr w14:val="tx1"/>
            </w14:solidFill>
          </w14:textFill>
        </w:rPr>
        <w:t>服务要求</w:t>
      </w:r>
    </w:p>
    <w:tbl>
      <w:tblPr>
        <w:tblStyle w:val="7"/>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8"/>
        <w:gridCol w:w="1292"/>
        <w:gridCol w:w="6893"/>
      </w:tblGrid>
      <w:tr w14:paraId="2C39E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424" w:type="pct"/>
            <w:vAlign w:val="center"/>
          </w:tcPr>
          <w:p w14:paraId="5DA40393">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序号</w:t>
            </w:r>
          </w:p>
        </w:tc>
        <w:tc>
          <w:tcPr>
            <w:tcW w:w="722" w:type="pct"/>
            <w:vAlign w:val="center"/>
          </w:tcPr>
          <w:p w14:paraId="721F944F">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需求条款</w:t>
            </w:r>
          </w:p>
        </w:tc>
        <w:tc>
          <w:tcPr>
            <w:tcW w:w="3852" w:type="pct"/>
            <w:vAlign w:val="center"/>
          </w:tcPr>
          <w:p w14:paraId="7C8BDAC1">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具体要求</w:t>
            </w:r>
          </w:p>
        </w:tc>
      </w:tr>
      <w:tr w14:paraId="431A6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restart"/>
            <w:vAlign w:val="center"/>
          </w:tcPr>
          <w:p w14:paraId="303F627D">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1</w:t>
            </w:r>
          </w:p>
        </w:tc>
        <w:tc>
          <w:tcPr>
            <w:tcW w:w="722" w:type="pct"/>
            <w:vMerge w:val="restart"/>
            <w:vAlign w:val="center"/>
          </w:tcPr>
          <w:p w14:paraId="371AA14B">
            <w:pPr>
              <w:widowControl/>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服务要求</w:t>
            </w:r>
          </w:p>
        </w:tc>
        <w:tc>
          <w:tcPr>
            <w:tcW w:w="3852" w:type="pct"/>
            <w:vAlign w:val="center"/>
          </w:tcPr>
          <w:p w14:paraId="40100157">
            <w:pPr>
              <w:widowControl/>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1.</w:t>
            </w:r>
            <w:r>
              <w:rPr>
                <w:rFonts w:hint="eastAsia" w:ascii="Times New Roman" w:hAnsi="Times New Roman" w:eastAsia="宋体" w:cs="宋体"/>
                <w:color w:val="auto"/>
                <w:sz w:val="24"/>
                <w:szCs w:val="24"/>
              </w:rPr>
              <w:t>所投产品</w:t>
            </w:r>
            <w:r>
              <w:rPr>
                <w:rFonts w:hint="eastAsia" w:ascii="Times New Roman" w:hAnsi="Times New Roman" w:cs="宋体"/>
                <w:color w:val="auto"/>
                <w:sz w:val="24"/>
                <w:szCs w:val="24"/>
                <w:lang w:eastAsia="zh-CN"/>
              </w:rPr>
              <w:t>质保期不少于</w:t>
            </w:r>
            <w:r>
              <w:rPr>
                <w:rFonts w:hint="eastAsia" w:ascii="Times New Roman" w:hAnsi="Times New Roman" w:eastAsia="宋体" w:cs="宋体"/>
                <w:color w:val="auto"/>
                <w:sz w:val="24"/>
                <w:szCs w:val="24"/>
                <w:lang w:val="en-US" w:eastAsia="zh-CN"/>
              </w:rPr>
              <w:t>1</w:t>
            </w:r>
            <w:r>
              <w:rPr>
                <w:rFonts w:hint="eastAsia" w:ascii="Times New Roman" w:hAnsi="Times New Roman" w:eastAsia="宋体" w:cs="宋体"/>
                <w:color w:val="auto"/>
                <w:sz w:val="24"/>
                <w:szCs w:val="24"/>
              </w:rPr>
              <w:t>年。</w:t>
            </w:r>
          </w:p>
        </w:tc>
      </w:tr>
      <w:tr w14:paraId="64E67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2C75B047">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680C5267">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4F120486">
            <w:pPr>
              <w:widowControl/>
              <w:spacing w:after="0"/>
              <w:jc w:val="both"/>
              <w:rPr>
                <w:rFonts w:hint="eastAsia" w:ascii="Times New Roman" w:hAnsi="Times New Roman" w:eastAsia="宋体" w:cs="宋体"/>
                <w:color w:val="auto"/>
                <w:kern w:val="0"/>
                <w:sz w:val="24"/>
                <w:szCs w:val="24"/>
                <w:lang w:val="en-US" w:eastAsia="zh-CN"/>
              </w:rPr>
            </w:pPr>
            <w:r>
              <w:rPr>
                <w:rFonts w:hint="eastAsia" w:ascii="Times New Roman" w:hAnsi="Times New Roman" w:eastAsia="宋体" w:cs="宋体"/>
                <w:color w:val="auto"/>
                <w:kern w:val="0"/>
                <w:sz w:val="24"/>
                <w:szCs w:val="24"/>
              </w:rPr>
              <w:t>2.</w:t>
            </w:r>
            <w:r>
              <w:rPr>
                <w:rFonts w:hint="eastAsia" w:ascii="Times New Roman" w:hAnsi="Times New Roman" w:cs="宋体"/>
                <w:color w:val="auto"/>
                <w:kern w:val="0"/>
                <w:sz w:val="24"/>
                <w:szCs w:val="24"/>
                <w:lang w:eastAsia="zh-CN"/>
              </w:rPr>
              <w:t>提供</w:t>
            </w:r>
            <w:r>
              <w:rPr>
                <w:rFonts w:hint="eastAsia" w:ascii="Times New Roman" w:hAnsi="Times New Roman" w:eastAsia="宋体" w:cs="宋体"/>
                <w:color w:val="auto"/>
                <w:kern w:val="0"/>
                <w:sz w:val="24"/>
                <w:szCs w:val="24"/>
              </w:rPr>
              <w:t>设计专业的售后机构和服务人员</w:t>
            </w:r>
            <w:r>
              <w:rPr>
                <w:rFonts w:hint="eastAsia" w:cs="宋体"/>
                <w:color w:val="auto"/>
                <w:kern w:val="0"/>
                <w:sz w:val="24"/>
                <w:szCs w:val="24"/>
                <w:lang w:eastAsia="zh-CN"/>
              </w:rPr>
              <w:t>。</w:t>
            </w:r>
          </w:p>
        </w:tc>
      </w:tr>
      <w:tr w14:paraId="05101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5E233EED">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002FDC16">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0039DB3E">
            <w:pPr>
              <w:widowControl/>
              <w:spacing w:after="0"/>
              <w:jc w:val="both"/>
              <w:rPr>
                <w:rFonts w:hint="default"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3.提供7×24小时售后服务，3小时之内到达现场</w:t>
            </w:r>
            <w:r>
              <w:rPr>
                <w:rFonts w:hint="eastAsia" w:cs="宋体"/>
                <w:color w:val="auto"/>
                <w:kern w:val="0"/>
                <w:sz w:val="24"/>
                <w:szCs w:val="24"/>
                <w:lang w:val="en-US" w:eastAsia="zh-CN"/>
              </w:rPr>
              <w:t>。</w:t>
            </w:r>
          </w:p>
        </w:tc>
      </w:tr>
      <w:tr w14:paraId="2A6D2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5FA86A24">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2</w:t>
            </w:r>
          </w:p>
        </w:tc>
        <w:tc>
          <w:tcPr>
            <w:tcW w:w="722" w:type="pct"/>
            <w:vAlign w:val="center"/>
          </w:tcPr>
          <w:p w14:paraId="5A9D5141">
            <w:pPr>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交货期</w:t>
            </w:r>
          </w:p>
        </w:tc>
        <w:tc>
          <w:tcPr>
            <w:tcW w:w="3852" w:type="pct"/>
            <w:vAlign w:val="center"/>
          </w:tcPr>
          <w:p w14:paraId="4A753588">
            <w:pPr>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签订合同之日起</w:t>
            </w:r>
            <w:r>
              <w:rPr>
                <w:rFonts w:hint="eastAsia" w:ascii="Times New Roman" w:hAnsi="Times New Roman" w:cs="宋体"/>
                <w:color w:val="auto"/>
                <w:sz w:val="24"/>
                <w:szCs w:val="24"/>
                <w:lang w:val="en-US" w:eastAsia="zh-CN"/>
              </w:rPr>
              <w:t>15</w:t>
            </w:r>
            <w:r>
              <w:rPr>
                <w:rFonts w:hint="eastAsia" w:ascii="Times New Roman" w:hAnsi="Times New Roman" w:eastAsia="宋体" w:cs="宋体"/>
                <w:color w:val="auto"/>
                <w:sz w:val="24"/>
                <w:szCs w:val="24"/>
              </w:rPr>
              <w:t>日内到货（特殊情况以合同为准）。</w:t>
            </w:r>
          </w:p>
        </w:tc>
      </w:tr>
      <w:tr w14:paraId="2200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263600BB">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w:t>
            </w:r>
          </w:p>
        </w:tc>
        <w:tc>
          <w:tcPr>
            <w:tcW w:w="722" w:type="pct"/>
            <w:vAlign w:val="center"/>
          </w:tcPr>
          <w:p w14:paraId="330BA050">
            <w:pPr>
              <w:spacing w:after="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验收要求</w:t>
            </w:r>
          </w:p>
        </w:tc>
        <w:tc>
          <w:tcPr>
            <w:tcW w:w="3852" w:type="pct"/>
            <w:vAlign w:val="center"/>
          </w:tcPr>
          <w:p w14:paraId="7E520677">
            <w:pPr>
              <w:spacing w:after="0"/>
              <w:jc w:val="both"/>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rPr>
              <w:t>抽验比例标准；逐条参数验收；有权委托第三方检验机构进行检验，特殊情况以合同为准</w:t>
            </w:r>
            <w:r>
              <w:rPr>
                <w:rFonts w:hint="eastAsia" w:cs="宋体"/>
                <w:color w:val="auto"/>
                <w:sz w:val="24"/>
                <w:szCs w:val="24"/>
                <w:lang w:eastAsia="zh-CN"/>
              </w:rPr>
              <w:t>。</w:t>
            </w:r>
          </w:p>
        </w:tc>
      </w:tr>
    </w:tbl>
    <w:p w14:paraId="583406A9">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bookmarkEnd w:id="3"/>
      <w:bookmarkEnd w:id="4"/>
    </w:p>
    <w:p w14:paraId="061E004E">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（一）采用“综合评分法”的评标方法。评标采用百分制，各评委独立分别对实质上响应比选文件进行逐项打分，对评标委员会各成员每一因素的打分汇总后取算术平均分，该平均分为投标人的得分。</w:t>
      </w:r>
    </w:p>
    <w:p w14:paraId="1B676D76">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（二）评审因素与标准</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
        <w:gridCol w:w="1215"/>
        <w:gridCol w:w="6503"/>
        <w:gridCol w:w="886"/>
      </w:tblGrid>
      <w:tr w14:paraId="2454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0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F76690">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第一部分价格（30分）</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15E66">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分值</w:t>
            </w:r>
          </w:p>
        </w:tc>
      </w:tr>
      <w:tr w14:paraId="0C2D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5A6A766B">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2C21B711">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价格</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5D361720">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（1）投标报价超过采购预算的，投标无效，未超过采购预算的投标报价按以下公式进行计算</w:t>
            </w:r>
          </w:p>
          <w:p w14:paraId="5CF70CA8">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（2）投标报价得分=（评标基准价/投标报价）×30</w:t>
            </w:r>
          </w:p>
          <w:p w14:paraId="768D7189">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注：满足院内比选文件要求且投标报价最低的投标报价为评标基准价</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0F5A2FD">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30</w:t>
            </w:r>
          </w:p>
        </w:tc>
      </w:tr>
      <w:tr w14:paraId="0C1A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08A35DF8">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第二部分客观分（70分）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29994A2E">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分值</w:t>
            </w:r>
          </w:p>
        </w:tc>
      </w:tr>
      <w:tr w14:paraId="7202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512507D2">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54B976FA">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检测报告</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5B5222A3">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根据所投产品原料检测报告复印件得5分，最高10分。未提供或不符合要求得0分。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5D2DFE88">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10</w:t>
            </w:r>
          </w:p>
        </w:tc>
      </w:tr>
      <w:tr w14:paraId="2DF0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90" w:type="pct"/>
            <w:tcBorders>
              <w:top w:val="nil"/>
              <w:left w:val="single" w:color="000000" w:sz="8" w:space="0"/>
              <w:bottom w:val="single" w:color="000000" w:sz="8" w:space="0"/>
              <w:right w:val="single" w:color="000000" w:sz="8" w:space="0"/>
            </w:tcBorders>
            <w:shd w:val="clear" w:color="auto" w:fill="auto"/>
            <w:noWrap/>
            <w:vAlign w:val="center"/>
          </w:tcPr>
          <w:p w14:paraId="7F084480">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3AC8E836">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制造商生产能力评价</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0E15A099">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响应文件中提供所响应产品制造商的设备图片及设备购置发票复印件加盖公章（注：若设备为租赁设备须同时提供相关租赁协议，否则不予认定加分）。每具备1项设备得</w:t>
            </w: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分，最多得</w:t>
            </w:r>
            <w:r>
              <w:rPr>
                <w:rFonts w:hint="eastAsia"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分；未提供或提供不全得0分。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07C6F223">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10</w:t>
            </w:r>
          </w:p>
        </w:tc>
      </w:tr>
      <w:tr w14:paraId="2162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0" w:type="pct"/>
            <w:tcBorders>
              <w:top w:val="nil"/>
              <w:left w:val="single" w:color="000000" w:sz="8" w:space="0"/>
              <w:bottom w:val="single" w:color="auto" w:sz="4" w:space="0"/>
              <w:right w:val="single" w:color="000000" w:sz="8" w:space="0"/>
            </w:tcBorders>
            <w:shd w:val="clear" w:color="auto" w:fill="auto"/>
            <w:noWrap/>
            <w:vAlign w:val="center"/>
          </w:tcPr>
          <w:p w14:paraId="52335EE0">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374F3B76">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业绩</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8388FAB">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提供所投产品在国内医院的实际使用业绩（按招标文件要求提供业绩表和合同复印件），一个业绩得5分，最高10分，未提供的得0分。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31E6C51C">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10</w:t>
            </w:r>
          </w:p>
        </w:tc>
      </w:tr>
      <w:tr w14:paraId="0EAF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0EC88">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w:t>
            </w:r>
          </w:p>
        </w:tc>
        <w:tc>
          <w:tcPr>
            <w:tcW w:w="679" w:type="pct"/>
            <w:tcBorders>
              <w:top w:val="nil"/>
              <w:left w:val="single" w:color="auto" w:sz="4" w:space="0"/>
              <w:bottom w:val="single" w:color="000000" w:sz="8" w:space="0"/>
              <w:right w:val="single" w:color="000000" w:sz="8" w:space="0"/>
            </w:tcBorders>
            <w:shd w:val="clear" w:color="auto" w:fill="auto"/>
            <w:vAlign w:val="center"/>
          </w:tcPr>
          <w:p w14:paraId="091E2EB6">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质量技术</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68C5E25">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“★”号条款为实质性条款，任何负偏离将导致其投标被否决</w:t>
            </w:r>
            <w:r>
              <w:rPr>
                <w:rFonts w:hint="eastAsia"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产品技术参数完全响应，样品完全符合文件技术要求，主要参数要求得</w:t>
            </w:r>
            <w:r>
              <w:rPr>
                <w:rFonts w:hint="eastAsia" w:cs="Times New Roman"/>
                <w:color w:val="auto"/>
                <w:kern w:val="2"/>
                <w:sz w:val="21"/>
                <w:szCs w:val="24"/>
                <w:lang w:val="en-US" w:eastAsia="zh-CN" w:bidi="ar-SA"/>
              </w:rPr>
              <w:t>20</w:t>
            </w:r>
            <w:r>
              <w:rPr>
                <w:rFonts w:hint="eastAsia" w:ascii="Times New Roman" w:hAnsi="Times New Roman" w:eastAsia="宋体" w:cs="Times New Roman"/>
                <w:color w:val="auto"/>
                <w:kern w:val="2"/>
                <w:sz w:val="21"/>
                <w:szCs w:val="24"/>
                <w:lang w:val="en-US" w:eastAsia="zh-CN" w:bidi="ar-SA"/>
              </w:rPr>
              <w:t>分；非“★”技术</w:t>
            </w:r>
            <w:r>
              <w:rPr>
                <w:rFonts w:hint="eastAsia" w:cs="Times New Roman"/>
                <w:color w:val="auto"/>
                <w:kern w:val="2"/>
                <w:sz w:val="21"/>
                <w:szCs w:val="24"/>
                <w:lang w:val="en-US" w:eastAsia="zh-CN" w:bidi="ar-SA"/>
              </w:rPr>
              <w:t>参数</w:t>
            </w:r>
            <w:r>
              <w:rPr>
                <w:rFonts w:hint="eastAsia" w:ascii="Times New Roman" w:hAnsi="Times New Roman" w:eastAsia="宋体" w:cs="Times New Roman"/>
                <w:color w:val="auto"/>
                <w:kern w:val="2"/>
                <w:sz w:val="21"/>
                <w:szCs w:val="24"/>
                <w:lang w:val="en-US" w:eastAsia="zh-CN" w:bidi="ar-SA"/>
              </w:rPr>
              <w:t>每产生一项负偏离扣除</w:t>
            </w:r>
            <w:r>
              <w:rPr>
                <w:rFonts w:hint="eastAsia"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en-US" w:eastAsia="zh-CN" w:bidi="ar-SA"/>
              </w:rPr>
              <w:t>分，最多扣除</w:t>
            </w:r>
            <w:r>
              <w:rPr>
                <w:rFonts w:hint="eastAsia" w:cs="Times New Roman"/>
                <w:color w:val="auto"/>
                <w:kern w:val="2"/>
                <w:sz w:val="21"/>
                <w:szCs w:val="24"/>
                <w:lang w:val="en-US" w:eastAsia="zh-CN" w:bidi="ar-SA"/>
              </w:rPr>
              <w:t>20</w:t>
            </w:r>
            <w:r>
              <w:rPr>
                <w:rFonts w:hint="eastAsia" w:ascii="Times New Roman" w:hAnsi="Times New Roman" w:eastAsia="宋体" w:cs="Times New Roman"/>
                <w:color w:val="auto"/>
                <w:kern w:val="2"/>
                <w:sz w:val="21"/>
                <w:szCs w:val="24"/>
                <w:lang w:val="en-US" w:eastAsia="zh-CN" w:bidi="ar-SA"/>
              </w:rPr>
              <w:t>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DE22637">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20</w:t>
            </w:r>
          </w:p>
        </w:tc>
      </w:tr>
      <w:tr w14:paraId="78CF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0"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348D0220">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191C35C6">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售后服务</w:t>
            </w:r>
          </w:p>
        </w:tc>
        <w:tc>
          <w:tcPr>
            <w:tcW w:w="3634" w:type="pct"/>
            <w:tcBorders>
              <w:top w:val="nil"/>
              <w:left w:val="single" w:color="000000" w:sz="8" w:space="0"/>
              <w:bottom w:val="single" w:color="000000" w:sz="8" w:space="0"/>
              <w:right w:val="single" w:color="000000" w:sz="8" w:space="0"/>
            </w:tcBorders>
            <w:shd w:val="clear" w:color="auto" w:fill="auto"/>
            <w:vAlign w:val="center"/>
          </w:tcPr>
          <w:p w14:paraId="429CCD1C">
            <w:pPr>
              <w:widowControl w:val="0"/>
              <w:spacing w:after="1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提供售后服务保障措施方案全面、可行：优秀20分；良好10分；一般5分；未提供不得分。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4F2A00B9">
            <w:pPr>
              <w:widowControl w:val="0"/>
              <w:spacing w:after="12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20</w:t>
            </w:r>
          </w:p>
        </w:tc>
      </w:tr>
      <w:tr w14:paraId="6EC7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6C92DE0C">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综合得分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2099FFE9">
            <w:pPr>
              <w:widowControl w:val="0"/>
              <w:spacing w:after="12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100</w:t>
            </w:r>
          </w:p>
        </w:tc>
      </w:tr>
    </w:tbl>
    <w:p w14:paraId="5BA5CA69">
      <w:pPr>
        <w:snapToGrid w:val="0"/>
        <w:spacing w:after="0" w:line="360" w:lineRule="auto"/>
        <w:contextualSpacing/>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备注：评标委员会各评委对有效响应文件按评审标准独立评审打分，投标人最终得分为各评委个人打分的算术平均值（四舍五入后，小数点后保留两位有效数）</w:t>
      </w:r>
    </w:p>
    <w:p w14:paraId="1CC5B197">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院内比选响应文件内容要求</w:t>
      </w:r>
    </w:p>
    <w:p w14:paraId="3A019A82">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default" w:ascii="Times New Roman" w:hAnsi="Times New Roman" w:eastAsia="宋体" w:cstheme="minorEastAsia"/>
          <w:color w:val="000000" w:themeColor="text1"/>
          <w:sz w:val="24"/>
          <w:szCs w:val="24"/>
          <w:lang w:val="en-US" w:eastAsia="zh-CN"/>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院内比选响应文件见附件</w:t>
      </w:r>
      <w:r>
        <w:rPr>
          <w:rFonts w:hint="eastAsia" w:ascii="Times New Roman" w:hAnsi="Times New Roman" w:eastAsia="宋体" w:cstheme="minorEastAsia"/>
          <w:color w:val="000000" w:themeColor="text1"/>
          <w:sz w:val="24"/>
          <w:szCs w:val="24"/>
          <w:lang w:val="en-US" w:eastAsia="zh-CN"/>
          <w14:textFill>
            <w14:solidFill>
              <w14:schemeClr w14:val="tx1"/>
            </w14:solidFill>
          </w14:textFill>
        </w:rPr>
        <w:t>2。</w:t>
      </w:r>
    </w:p>
    <w:p w14:paraId="4DA0268A">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信息发布方式</w:t>
      </w:r>
    </w:p>
    <w:p w14:paraId="3CCEF97D">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本项目需要公开的有关信息，包括公开比选公告、更正公告、比选结果公告、终止公告等与比选活动有关的通知，采购人均将通过“天津市第一中心医院官网（ https://www.tj-fch.com/ ）”公开发布。</w:t>
      </w:r>
    </w:p>
    <w:p w14:paraId="762510C5">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院内比选响应文件递交及现场比选</w:t>
      </w:r>
    </w:p>
    <w:p w14:paraId="419E1D57">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院内比选响应文件递交截止时</w:t>
      </w:r>
      <w:r>
        <w:rPr>
          <w:rFonts w:hint="eastAsia" w:ascii="Times New Roman" w:hAnsi="Times New Roman" w:eastAsia="宋体" w:cs="等线"/>
          <w:color w:val="auto"/>
          <w:sz w:val="24"/>
          <w:szCs w:val="24"/>
          <w:lang w:val="en-US" w:eastAsia="zh-CN"/>
        </w:rPr>
        <w:t>间：</w:t>
      </w:r>
      <w:r>
        <w:rPr>
          <w:rFonts w:hint="eastAsia" w:ascii="Times New Roman" w:hAnsi="Times New Roman" w:eastAsia="宋体" w:cs="Times New Roman"/>
          <w:color w:val="auto"/>
          <w:kern w:val="0"/>
          <w:sz w:val="24"/>
          <w:szCs w:val="24"/>
          <w:lang w:val="en-US" w:eastAsia="zh-CN" w:bidi="ar-SA"/>
        </w:rPr>
        <w:t>2025年</w:t>
      </w:r>
      <w:r>
        <w:rPr>
          <w:rFonts w:hint="eastAsia" w:cs="Times New Roman"/>
          <w:color w:val="auto"/>
          <w:kern w:val="0"/>
          <w:sz w:val="24"/>
          <w:szCs w:val="24"/>
          <w:lang w:val="en-US" w:eastAsia="zh-CN" w:bidi="ar-SA"/>
        </w:rPr>
        <w:t>12</w:t>
      </w:r>
      <w:r>
        <w:rPr>
          <w:rFonts w:hint="eastAsia" w:ascii="Times New Roman" w:hAnsi="Times New Roman" w:eastAsia="宋体" w:cs="Times New Roman"/>
          <w:color w:val="auto"/>
          <w:kern w:val="0"/>
          <w:sz w:val="24"/>
          <w:szCs w:val="24"/>
          <w:lang w:val="en-US" w:eastAsia="zh-CN" w:bidi="ar-SA"/>
        </w:rPr>
        <w:t>月</w:t>
      </w:r>
      <w:r>
        <w:rPr>
          <w:rFonts w:hint="eastAsia" w:cs="Times New Roman"/>
          <w:color w:val="auto"/>
          <w:kern w:val="0"/>
          <w:sz w:val="24"/>
          <w:szCs w:val="24"/>
          <w:lang w:val="en-US" w:eastAsia="zh-CN" w:bidi="ar-SA"/>
        </w:rPr>
        <w:t>29</w:t>
      </w:r>
      <w:r>
        <w:rPr>
          <w:rFonts w:hint="eastAsia" w:ascii="Times New Roman" w:hAnsi="Times New Roman" w:eastAsia="宋体" w:cs="Times New Roman"/>
          <w:color w:val="auto"/>
          <w:kern w:val="0"/>
          <w:sz w:val="24"/>
          <w:szCs w:val="24"/>
          <w:lang w:val="en-US" w:eastAsia="zh-CN" w:bidi="ar-SA"/>
        </w:rPr>
        <w:t>日1</w:t>
      </w:r>
      <w:r>
        <w:rPr>
          <w:rFonts w:hint="eastAsia" w:cs="Times New Roman"/>
          <w:color w:val="auto"/>
          <w:kern w:val="0"/>
          <w:sz w:val="24"/>
          <w:szCs w:val="24"/>
          <w:lang w:val="en-US" w:eastAsia="zh-CN" w:bidi="ar-SA"/>
        </w:rPr>
        <w:t>7</w:t>
      </w:r>
      <w:r>
        <w:rPr>
          <w:rFonts w:hint="eastAsia" w:ascii="Times New Roman" w:hAnsi="Times New Roman" w:eastAsia="宋体" w:cs="Times New Roman"/>
          <w:color w:val="auto"/>
          <w:kern w:val="0"/>
          <w:sz w:val="24"/>
          <w:szCs w:val="24"/>
          <w:lang w:val="en-US" w:eastAsia="zh-CN" w:bidi="ar-SA"/>
        </w:rPr>
        <w:t>:</w:t>
      </w:r>
      <w:r>
        <w:rPr>
          <w:rFonts w:hint="eastAsia" w:cs="Times New Roman"/>
          <w:color w:val="auto"/>
          <w:kern w:val="0"/>
          <w:sz w:val="24"/>
          <w:szCs w:val="24"/>
          <w:lang w:val="en-US" w:eastAsia="zh-CN" w:bidi="ar-SA"/>
        </w:rPr>
        <w:t>0</w:t>
      </w:r>
      <w:r>
        <w:rPr>
          <w:rFonts w:hint="eastAsia" w:ascii="Times New Roman" w:hAnsi="Times New Roman" w:eastAsia="宋体" w:cs="Times New Roman"/>
          <w:color w:val="auto"/>
          <w:kern w:val="0"/>
          <w:sz w:val="24"/>
          <w:szCs w:val="24"/>
          <w:lang w:val="en-US" w:eastAsia="zh-CN" w:bidi="ar-SA"/>
        </w:rPr>
        <w:t>0</w:t>
      </w:r>
      <w:r>
        <w:rPr>
          <w:rFonts w:hint="eastAsia" w:ascii="Times New Roman" w:hAnsi="Times New Roman" w:eastAsia="宋体" w:cs="等线"/>
          <w:color w:val="auto"/>
          <w:sz w:val="24"/>
          <w:szCs w:val="24"/>
          <w:lang w:val="en-US" w:eastAsia="zh-CN"/>
        </w:rPr>
        <w:t>。</w:t>
      </w:r>
    </w:p>
    <w:p w14:paraId="0BC90685">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院内比选响应文件递交方式：文件密封后邮寄至天津市第一中心医院（水西院区）设备物资处。</w:t>
      </w:r>
    </w:p>
    <w:p w14:paraId="620B5B18">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启封院内比选响应文件、现场比选时间：</w:t>
      </w:r>
      <w:r>
        <w:rPr>
          <w:rFonts w:hint="eastAsia" w:ascii="Times New Roman" w:hAnsi="Times New Roman" w:eastAsia="宋体" w:cs="Times New Roman"/>
          <w:color w:val="auto"/>
          <w:kern w:val="0"/>
          <w:sz w:val="24"/>
          <w:szCs w:val="24"/>
          <w:lang w:val="en-US" w:eastAsia="zh-CN" w:bidi="ar-SA"/>
        </w:rPr>
        <w:t>2025年</w:t>
      </w:r>
      <w:r>
        <w:rPr>
          <w:rFonts w:hint="eastAsia" w:cs="Times New Roman"/>
          <w:color w:val="auto"/>
          <w:kern w:val="0"/>
          <w:sz w:val="24"/>
          <w:szCs w:val="24"/>
          <w:lang w:val="en-US" w:eastAsia="zh-CN" w:bidi="ar-SA"/>
        </w:rPr>
        <w:t>12</w:t>
      </w:r>
      <w:r>
        <w:rPr>
          <w:rFonts w:hint="eastAsia" w:ascii="Times New Roman" w:hAnsi="Times New Roman" w:eastAsia="宋体" w:cs="Times New Roman"/>
          <w:color w:val="auto"/>
          <w:kern w:val="0"/>
          <w:sz w:val="24"/>
          <w:szCs w:val="24"/>
          <w:lang w:val="en-US" w:eastAsia="zh-CN" w:bidi="ar-SA"/>
        </w:rPr>
        <w:t>月</w:t>
      </w:r>
      <w:r>
        <w:rPr>
          <w:rFonts w:hint="eastAsia" w:cs="Times New Roman"/>
          <w:color w:val="auto"/>
          <w:kern w:val="0"/>
          <w:sz w:val="24"/>
          <w:szCs w:val="24"/>
          <w:lang w:val="en-US" w:eastAsia="zh-CN" w:bidi="ar-SA"/>
        </w:rPr>
        <w:t>30</w:t>
      </w:r>
      <w:r>
        <w:rPr>
          <w:rFonts w:hint="eastAsia" w:ascii="Times New Roman" w:hAnsi="Times New Roman" w:eastAsia="宋体" w:cs="Times New Roman"/>
          <w:color w:val="auto"/>
          <w:kern w:val="0"/>
          <w:sz w:val="24"/>
          <w:szCs w:val="24"/>
          <w:lang w:val="en-US" w:eastAsia="zh-CN" w:bidi="ar-SA"/>
        </w:rPr>
        <w:t>日9:</w:t>
      </w:r>
      <w:r>
        <w:rPr>
          <w:rFonts w:hint="eastAsia" w:cs="Times New Roman"/>
          <w:color w:val="auto"/>
          <w:kern w:val="0"/>
          <w:sz w:val="24"/>
          <w:szCs w:val="24"/>
          <w:lang w:val="en-US" w:eastAsia="zh-CN" w:bidi="ar-SA"/>
        </w:rPr>
        <w:t>0</w:t>
      </w:r>
      <w:r>
        <w:rPr>
          <w:rFonts w:hint="eastAsia" w:ascii="Times New Roman" w:hAnsi="Times New Roman" w:eastAsia="宋体" w:cs="Times New Roman"/>
          <w:color w:val="auto"/>
          <w:kern w:val="0"/>
          <w:sz w:val="24"/>
          <w:szCs w:val="24"/>
          <w:lang w:val="en-US" w:eastAsia="zh-CN" w:bidi="ar-SA"/>
        </w:rPr>
        <w:t>0。</w:t>
      </w:r>
    </w:p>
    <w:p w14:paraId="4FF2278D">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院内比选地点：天津市第一中心医院（水西院区）设备物资处6楼会议室。</w:t>
      </w:r>
    </w:p>
    <w:p w14:paraId="310C22EC">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项目联系方式</w:t>
      </w:r>
    </w:p>
    <w:p w14:paraId="1DC311A0">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政务邮箱：</w:t>
      </w:r>
      <w:r>
        <w:rPr>
          <w:rFonts w:hint="eastAsia" w:ascii="Times New Roman" w:hAnsi="Times New Roman" w:eastAsia="宋体" w:cs="等线"/>
          <w:color w:val="000000"/>
          <w:sz w:val="24"/>
          <w:szCs w:val="24"/>
          <w:lang w:val="en-US" w:eastAsia="zh-CN"/>
        </w:rPr>
        <w:fldChar w:fldCharType="begin"/>
      </w:r>
      <w:r>
        <w:rPr>
          <w:rFonts w:hint="eastAsia" w:ascii="Times New Roman" w:hAnsi="Times New Roman" w:eastAsia="宋体" w:cs="等线"/>
          <w:color w:val="000000"/>
          <w:sz w:val="24"/>
          <w:szCs w:val="24"/>
          <w:lang w:val="en-US" w:eastAsia="zh-CN"/>
        </w:rPr>
        <w:instrText xml:space="preserve"> HYPERLINK "mailto:sdyzxsbwzcsbk@tj.gov.cn" </w:instrText>
      </w:r>
      <w:r>
        <w:rPr>
          <w:rFonts w:hint="eastAsia" w:ascii="Times New Roman" w:hAnsi="Times New Roman" w:eastAsia="宋体" w:cs="等线"/>
          <w:color w:val="000000"/>
          <w:sz w:val="24"/>
          <w:szCs w:val="24"/>
          <w:lang w:val="en-US" w:eastAsia="zh-CN"/>
        </w:rPr>
        <w:fldChar w:fldCharType="separate"/>
      </w:r>
      <w:r>
        <w:rPr>
          <w:rStyle w:val="10"/>
          <w:rFonts w:hint="eastAsia" w:ascii="Times New Roman" w:hAnsi="Times New Roman" w:eastAsia="宋体" w:cs="等线"/>
          <w:sz w:val="24"/>
          <w:szCs w:val="24"/>
          <w:lang w:val="en-US" w:eastAsia="zh-CN"/>
        </w:rPr>
        <w:t>sdyzxsbwzcsbk@tj.gov.cn</w:t>
      </w:r>
      <w:r>
        <w:rPr>
          <w:rFonts w:hint="eastAsia" w:ascii="Times New Roman" w:hAnsi="Times New Roman" w:eastAsia="宋体" w:cs="等线"/>
          <w:color w:val="000000"/>
          <w:sz w:val="24"/>
          <w:szCs w:val="24"/>
          <w:lang w:val="en-US" w:eastAsia="zh-CN"/>
        </w:rPr>
        <w:fldChar w:fldCharType="end"/>
      </w:r>
    </w:p>
    <w:p w14:paraId="49228686">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地点：天津市西青区保山西道2号</w:t>
      </w:r>
    </w:p>
    <w:p w14:paraId="6BF534F1">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bookmarkStart w:id="5" w:name="OLE_LINK2"/>
      <w:bookmarkStart w:id="6" w:name="OLE_LINK1"/>
      <w:r>
        <w:rPr>
          <w:rFonts w:hint="eastAsia" w:ascii="Times New Roman" w:hAnsi="Times New Roman" w:eastAsia="宋体" w:cs="等线"/>
          <w:color w:val="000000"/>
          <w:sz w:val="24"/>
          <w:szCs w:val="24"/>
          <w:lang w:val="en-US" w:eastAsia="zh-CN"/>
        </w:rPr>
        <w:t>联系电话：022-</w:t>
      </w:r>
      <w:bookmarkEnd w:id="5"/>
      <w:bookmarkEnd w:id="6"/>
      <w:r>
        <w:rPr>
          <w:rFonts w:hint="eastAsia" w:ascii="Times New Roman" w:hAnsi="Times New Roman" w:eastAsia="宋体" w:cs="等线"/>
          <w:color w:val="000000"/>
          <w:sz w:val="24"/>
          <w:szCs w:val="24"/>
          <w:lang w:val="en-US" w:eastAsia="zh-CN"/>
        </w:rPr>
        <w:t>23628323</w:t>
      </w:r>
    </w:p>
    <w:p w14:paraId="2E9D8C38">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联系人：王老师</w:t>
      </w:r>
    </w:p>
    <w:p w14:paraId="7F47D95E">
      <w:pPr>
        <w:snapToGrid w:val="0"/>
        <w:spacing w:line="360" w:lineRule="auto"/>
        <w:ind w:right="210" w:firstLine="420" w:firstLineChars="200"/>
        <w:contextualSpacing/>
        <w:jc w:val="right"/>
        <w:rPr>
          <w:rFonts w:ascii="Times New Roman" w:hAnsi="Times New Roman"/>
          <w:color w:val="auto"/>
          <w:szCs w:val="21"/>
          <w:shd w:val="clear" w:color="auto" w:fill="FFFFFF"/>
        </w:rPr>
      </w:pPr>
    </w:p>
    <w:p w14:paraId="7DC73615">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hint="eastAsia" w:ascii="Times New Roman" w:hAnsi="Times New Roman" w:eastAsia="宋体" w:cstheme="minorEastAsia"/>
          <w:color w:val="auto"/>
          <w:sz w:val="24"/>
          <w:szCs w:val="24"/>
        </w:rPr>
      </w:pPr>
      <w:r>
        <w:rPr>
          <w:rFonts w:hint="eastAsia" w:ascii="Times New Roman" w:hAnsi="Times New Roman" w:eastAsia="宋体" w:cstheme="minorEastAsia"/>
          <w:color w:val="auto"/>
          <w:sz w:val="24"/>
          <w:szCs w:val="24"/>
        </w:rPr>
        <w:t xml:space="preserve"> 天津市第一中心医院</w:t>
      </w:r>
    </w:p>
    <w:p w14:paraId="67585122">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ascii="Times New Roman" w:hAnsi="Times New Roman"/>
          <w:color w:val="auto"/>
        </w:rPr>
      </w:pPr>
      <w:r>
        <w:rPr>
          <w:rFonts w:hint="eastAsia" w:ascii="Times New Roman" w:hAnsi="Times New Roman" w:eastAsia="宋体" w:cs="等线"/>
          <w:color w:val="auto"/>
          <w:sz w:val="24"/>
          <w:szCs w:val="24"/>
        </w:rPr>
        <w:t>2025年</w:t>
      </w:r>
      <w:r>
        <w:rPr>
          <w:rFonts w:hint="eastAsia" w:cs="等线"/>
          <w:color w:val="auto"/>
          <w:sz w:val="24"/>
          <w:szCs w:val="24"/>
          <w:lang w:val="en-US" w:eastAsia="zh-CN"/>
        </w:rPr>
        <w:t>12</w:t>
      </w:r>
      <w:r>
        <w:rPr>
          <w:rFonts w:hint="eastAsia" w:ascii="Times New Roman" w:hAnsi="Times New Roman" w:eastAsia="宋体" w:cs="等线"/>
          <w:color w:val="auto"/>
          <w:sz w:val="24"/>
          <w:szCs w:val="24"/>
        </w:rPr>
        <w:t>月</w:t>
      </w:r>
      <w:r>
        <w:rPr>
          <w:rFonts w:hint="eastAsia" w:cs="等线"/>
          <w:color w:val="auto"/>
          <w:sz w:val="24"/>
          <w:szCs w:val="24"/>
          <w:lang w:val="en-US" w:eastAsia="zh-CN"/>
        </w:rPr>
        <w:t>23</w:t>
      </w:r>
      <w:r>
        <w:rPr>
          <w:rFonts w:hint="eastAsia" w:ascii="Times New Roman" w:hAnsi="Times New Roman" w:eastAsia="宋体" w:cs="等线"/>
          <w:color w:val="auto"/>
          <w:sz w:val="24"/>
          <w:szCs w:val="24"/>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7C434"/>
    <w:multiLevelType w:val="singleLevel"/>
    <w:tmpl w:val="CA87C434"/>
    <w:lvl w:ilvl="0" w:tentative="0">
      <w:start w:val="1"/>
      <w:numFmt w:val="decimal"/>
      <w:lvlText w:val="%1."/>
      <w:lvlJc w:val="left"/>
      <w:pPr>
        <w:ind w:left="425" w:hanging="425"/>
      </w:pPr>
      <w:rPr>
        <w:rFonts w:hint="default"/>
      </w:rPr>
    </w:lvl>
  </w:abstractNum>
  <w:abstractNum w:abstractNumId="1">
    <w:nsid w:val="1882A39A"/>
    <w:multiLevelType w:val="singleLevel"/>
    <w:tmpl w:val="1882A39A"/>
    <w:lvl w:ilvl="0" w:tentative="0">
      <w:start w:val="1"/>
      <w:numFmt w:val="decimal"/>
      <w:lvlText w:val="%1."/>
      <w:lvlJc w:val="left"/>
      <w:pPr>
        <w:ind w:left="425" w:hanging="425"/>
      </w:pPr>
      <w:rPr>
        <w:rFonts w:hint="default"/>
      </w:rPr>
    </w:lvl>
  </w:abstractNum>
  <w:abstractNum w:abstractNumId="2">
    <w:nsid w:val="2CC0CAFF"/>
    <w:multiLevelType w:val="singleLevel"/>
    <w:tmpl w:val="2CC0CAFF"/>
    <w:lvl w:ilvl="0" w:tentative="0">
      <w:start w:val="1"/>
      <w:numFmt w:val="decimal"/>
      <w:lvlText w:val="%1."/>
      <w:lvlJc w:val="left"/>
      <w:pPr>
        <w:ind w:left="425" w:hanging="425"/>
      </w:pPr>
      <w:rPr>
        <w:rFonts w:hint="default"/>
      </w:rPr>
    </w:lvl>
  </w:abstractNum>
  <w:abstractNum w:abstractNumId="3">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1157CA4"/>
    <w:rsid w:val="03320ED0"/>
    <w:rsid w:val="03625C1A"/>
    <w:rsid w:val="08BE20A1"/>
    <w:rsid w:val="0A5D4E47"/>
    <w:rsid w:val="0B9F3B52"/>
    <w:rsid w:val="0D9A69E7"/>
    <w:rsid w:val="0EAF1BEC"/>
    <w:rsid w:val="0EFA5139"/>
    <w:rsid w:val="11C07CEF"/>
    <w:rsid w:val="138216AF"/>
    <w:rsid w:val="13A02D2C"/>
    <w:rsid w:val="13D4703D"/>
    <w:rsid w:val="172440CE"/>
    <w:rsid w:val="183F48C2"/>
    <w:rsid w:val="1F073C5F"/>
    <w:rsid w:val="1F4F7915"/>
    <w:rsid w:val="21334BB1"/>
    <w:rsid w:val="252A5F1D"/>
    <w:rsid w:val="36DE12F2"/>
    <w:rsid w:val="37666400"/>
    <w:rsid w:val="38DE0CE3"/>
    <w:rsid w:val="39364142"/>
    <w:rsid w:val="3AAD3487"/>
    <w:rsid w:val="3ABE7DBD"/>
    <w:rsid w:val="3CF36A65"/>
    <w:rsid w:val="3D0575D8"/>
    <w:rsid w:val="42873880"/>
    <w:rsid w:val="4661564E"/>
    <w:rsid w:val="4B4B027C"/>
    <w:rsid w:val="4E10527C"/>
    <w:rsid w:val="4F950C90"/>
    <w:rsid w:val="540A4E77"/>
    <w:rsid w:val="545502B4"/>
    <w:rsid w:val="55D2387C"/>
    <w:rsid w:val="55EE206A"/>
    <w:rsid w:val="58CF79EF"/>
    <w:rsid w:val="58E635EE"/>
    <w:rsid w:val="603F76A6"/>
    <w:rsid w:val="637F2CFA"/>
    <w:rsid w:val="64E440E5"/>
    <w:rsid w:val="652D1859"/>
    <w:rsid w:val="66A346D4"/>
    <w:rsid w:val="6AA047F3"/>
    <w:rsid w:val="70FF0561"/>
    <w:rsid w:val="7256391B"/>
    <w:rsid w:val="777F6D62"/>
    <w:rsid w:val="7ADC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720" w:lineRule="auto"/>
      <w:jc w:val="center"/>
      <w:outlineLvl w:val="0"/>
    </w:pPr>
    <w:rPr>
      <w:b/>
      <w:bCs/>
      <w:kern w:val="44"/>
      <w:sz w:val="28"/>
      <w:szCs w:val="44"/>
    </w:rPr>
  </w:style>
  <w:style w:type="paragraph" w:styleId="4">
    <w:name w:val="heading 2"/>
    <w:basedOn w:val="1"/>
    <w:next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0"/>
    <w:pPr>
      <w:widowControl w:val="0"/>
      <w:spacing w:before="120" w:after="120"/>
      <w:jc w:val="both"/>
    </w:pPr>
    <w:rPr>
      <w:rFonts w:ascii="Arial" w:hAnsi="Arial" w:eastAsia="宋体" w:cs="Arial"/>
      <w:kern w:val="2"/>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paragraph" w:customStyle="1" w:styleId="11">
    <w:name w:val="表格文字"/>
    <w:qFormat/>
    <w:uiPriority w:val="0"/>
    <w:pPr>
      <w:widowControl w:val="0"/>
      <w:spacing w:before="25" w:after="25" w:line="360" w:lineRule="auto"/>
      <w:ind w:firstLine="723" w:firstLineChars="200"/>
      <w:jc w:val="left"/>
    </w:pPr>
    <w:rPr>
      <w:rFonts w:ascii="宋体" w:hAnsi="宋体" w:eastAsia="宋体" w:cs="宋体"/>
      <w:bCs/>
      <w:spacing w:val="10"/>
      <w:kern w:val="2"/>
      <w:sz w:val="24"/>
      <w:szCs w:val="24"/>
      <w:lang w:val="en-US" w:eastAsia="zh-CN" w:bidi="ar-SA"/>
    </w:rPr>
  </w:style>
  <w:style w:type="paragraph" w:styleId="12">
    <w:name w:val="List Paragraph"/>
    <w:basedOn w:val="1"/>
    <w:qFormat/>
    <w:uiPriority w:val="34"/>
    <w:pPr>
      <w:ind w:firstLine="420" w:firstLineChars="200"/>
    </w:pPr>
  </w:style>
  <w:style w:type="paragraph" w:customStyle="1" w:styleId="13">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999</Words>
  <Characters>1140</Characters>
  <Lines>0</Lines>
  <Paragraphs>0</Paragraphs>
  <TotalTime>9</TotalTime>
  <ScaleCrop>false</ScaleCrop>
  <LinksUpToDate>false</LinksUpToDate>
  <CharactersWithSpaces>1167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2025-06-23T06:21:00Z</dcterms:created>
  <dc:creator>田佳宜</dc:creator>
  <cp:lastModifiedBy>WPS_1747289911</cp:lastModifiedBy>
  <dcterms:modified xsi:type="dcterms:W3CDTF">2025-12-23T06:23:42Z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12787C797E3A4B71A434619585DCB0FE_13</vt:lpwstr>
  </property>
  <property fmtid="{D5CDD505-2E9C-101B-9397-08002B2CF9AE}" pid="4" name="KSOTemplateDocerSaveRecord">
    <vt:lpwstr>eyJoZGlkIjoiZTI5YTgyZmZhOWZmMDBlYzA0YmY2M2Y0ZGJkYzUxNWMiLCJ1c2VySWQiOiIxNzAxNjc2MTA5In0=</vt:lpwstr>
  </property>
</Properties>
</file>