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3E281">
      <w:pPr>
        <w:spacing w:line="360" w:lineRule="auto"/>
        <w:jc w:val="center"/>
        <w:rPr>
          <w:rFonts w:ascii="宋体" w:hAnsi="宋体" w:cs="黑体"/>
          <w:b/>
          <w:sz w:val="40"/>
        </w:rPr>
      </w:pPr>
      <w:r>
        <w:rPr>
          <w:rFonts w:hint="eastAsia" w:ascii="宋体" w:hAnsi="宋体" w:cs="黑体"/>
          <w:b/>
          <w:sz w:val="40"/>
        </w:rPr>
        <w:t>天津市第一中心医院临床语音采集项目需求</w:t>
      </w:r>
    </w:p>
    <w:p w14:paraId="1C9ACBE0">
      <w:pPr>
        <w:spacing w:line="360" w:lineRule="auto"/>
        <w:jc w:val="center"/>
        <w:rPr>
          <w:rFonts w:ascii="宋体" w:hAnsi="宋体"/>
          <w:b/>
          <w:sz w:val="32"/>
          <w:szCs w:val="21"/>
        </w:rPr>
      </w:pPr>
    </w:p>
    <w:p w14:paraId="6D7180F5">
      <w:pPr>
        <w:spacing w:beforeLines="50" w:afterLines="50"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一、项目背景</w:t>
      </w:r>
    </w:p>
    <w:p w14:paraId="493DBB4D">
      <w:pPr>
        <w:spacing w:line="360" w:lineRule="auto"/>
        <w:ind w:firstLine="480" w:firstLineChars="200"/>
        <w:rPr>
          <w:rFonts w:ascii="宋体" w:hAnsi="宋体"/>
          <w:b/>
          <w:color w:val="FF0000"/>
          <w:sz w:val="24"/>
        </w:rPr>
      </w:pPr>
      <w:r>
        <w:rPr>
          <w:rFonts w:hint="eastAsia" w:ascii="宋体" w:hAnsi="宋体"/>
          <w:sz w:val="24"/>
        </w:rPr>
        <w:t>为提升医院临床诊疗效率、提升AI赋能空间，本次需采购符合医疗行业规范、具备高安全性与适配性的临床语音采集系统，实现门诊问诊、病房查房、检查记录、病例讨论等多场景下的语音数据精准采集、实时转写与安全存储，为电子病历生成、医疗质量追溯、教学科研提</w:t>
      </w:r>
      <w:r>
        <w:rPr>
          <w:rFonts w:hint="eastAsia" w:ascii="宋体" w:hAnsi="宋体"/>
          <w:color w:val="auto"/>
          <w:sz w:val="24"/>
        </w:rPr>
        <w:t>供前端的基础能力支撑。</w:t>
      </w:r>
      <w:r>
        <w:rPr>
          <w:rFonts w:hint="eastAsia" w:ascii="宋体" w:hAnsi="宋体"/>
          <w:b/>
          <w:color w:val="auto"/>
          <w:sz w:val="24"/>
        </w:rPr>
        <w:t>本项目所采购的400套前端拾音设备需要根据临床真实场景的测试结果确定品牌、型号和具体数量，满足口腔、超声、内科、外科、住院医生站的临床需求。</w:t>
      </w:r>
    </w:p>
    <w:p w14:paraId="486854FB">
      <w:pPr>
        <w:numPr>
          <w:ilvl w:val="0"/>
          <w:numId w:val="1"/>
        </w:numPr>
        <w:spacing w:beforeLines="50" w:afterLines="50"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项目所需产品类别数量</w:t>
      </w:r>
    </w:p>
    <w:tbl>
      <w:tblPr>
        <w:tblStyle w:val="19"/>
        <w:tblW w:w="887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05"/>
        <w:gridCol w:w="4862"/>
        <w:gridCol w:w="675"/>
        <w:gridCol w:w="652"/>
      </w:tblGrid>
      <w:tr w14:paraId="363B9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84F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97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项目内容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5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技术要求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79C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A7A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</w:tr>
      <w:tr w14:paraId="60375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627F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29A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购置专用语音采集设备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09D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AE9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1C75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42D9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817E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1.1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E3E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智能语音采集设备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30D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专用语音采集设备，包括领夹式、桌面式等，应用于门诊诊室、住院医生站使用。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39C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460C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400</w:t>
            </w:r>
          </w:p>
        </w:tc>
      </w:tr>
      <w:tr w14:paraId="0590B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539A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FB1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9C9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覆盖门诊、病房、检查科室、会议室等全临床场景支持多终端（PC 端、移动端、专用采集设备）接入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1639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EA17">
            <w:pPr>
              <w:jc w:val="center"/>
              <w:rPr>
                <w:color w:val="000000"/>
                <w:szCs w:val="21"/>
              </w:rPr>
            </w:pPr>
          </w:p>
        </w:tc>
      </w:tr>
      <w:tr w14:paraId="1357F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25C2F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D69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DEB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采集语音格式需包含 WAV、MP3、AAC 等主流格式,确保语音清晰度；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7941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2C391">
            <w:pPr>
              <w:jc w:val="center"/>
              <w:rPr>
                <w:color w:val="000000"/>
                <w:szCs w:val="21"/>
              </w:rPr>
            </w:pPr>
          </w:p>
        </w:tc>
      </w:tr>
      <w:tr w14:paraId="5EDF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1BCBE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DB7A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1C7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专用麦克风需具备降噪功能，支持 360°全向拾音，抗干扰能力强（可过滤设备杂音、环境噪音）；移动端采集支持手机/平板内置麦克风与外接无线麦克风双模式，满足查房时移动场景需求；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C8AE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52E6">
            <w:pPr>
              <w:jc w:val="center"/>
              <w:rPr>
                <w:color w:val="000000"/>
                <w:szCs w:val="21"/>
              </w:rPr>
            </w:pPr>
          </w:p>
        </w:tc>
      </w:tr>
      <w:tr w14:paraId="57791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A08C0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610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智能化语音采集软件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E7BC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546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5633">
            <w:pPr>
              <w:jc w:val="center"/>
              <w:rPr>
                <w:color w:val="000000"/>
                <w:szCs w:val="21"/>
              </w:rPr>
            </w:pPr>
          </w:p>
        </w:tc>
      </w:tr>
      <w:tr w14:paraId="5D37C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FA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390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智能语音采集软件</w:t>
            </w: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53E6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准确详细记录语音采集内容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，整理成医学记录。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支持多人发言记录（自动区分参会者语音，标注发言人身份）。</w:t>
            </w:r>
            <w:bookmarkStart w:id="0" w:name="_GoBack"/>
            <w:bookmarkEnd w:id="0"/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A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A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</w:tr>
      <w:tr w14:paraId="12D70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57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55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1F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转写准确率：通用医疗场景（如问诊、查房）转写准确率≥95%，专业医疗场景（如手术术语、专科疾病名称）转写准确率≥92%，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39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E8F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448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55B2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E2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95D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支持“边采集边转写”，转写文本实时显示在终端界面，医护人员可实时校对，支持“暂停 / 继续”“段落拆分”“术语替换”等编辑功能；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B6A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94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AD48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02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219E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E94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自动去除语音中的无效信息（如咳嗽声、停顿空白），点击文本可回溯对应语音片段，便于校对与追溯。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A3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0E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4F1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744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E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F2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支持局域网部署，支持离线模式（网络中断时本地缓存数据，网络恢复后自动同步）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61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0B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159C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EE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9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301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实现语音数据“采集 - 转写 - 校对 - 归档 - 调用”全流程闭环管理，转写准确率满足临床医疗文书生成要求；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B4B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58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1BC24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E8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66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97B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保障语音数据符合《数据安全法》《个人信息保护法》及医疗行业数据安全规范，确保患者隐私与医疗数据不泄露；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6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1C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4BE9A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FC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3F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790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并发能力：支持至少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个终端同时在线采集，单终端连续采集时长不低于 8 小时，云端转写响应时间≤3 秒（单条语音时长≤5 分钟）。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004D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A3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14:paraId="321142D8">
      <w:pPr>
        <w:widowControl/>
        <w:jc w:val="center"/>
        <w:textAlignment w:val="center"/>
        <w:rPr>
          <w:rFonts w:ascii="宋体" w:hAnsi="宋体" w:cs="宋体"/>
          <w:color w:val="000000"/>
          <w:kern w:val="0"/>
          <w:szCs w:val="21"/>
        </w:rPr>
      </w:pPr>
    </w:p>
    <w:p w14:paraId="22C9BEE4">
      <w:pPr>
        <w:spacing w:beforeLines="50" w:afterLines="50" w:line="360" w:lineRule="auto"/>
        <w:rPr>
          <w:rFonts w:ascii="宋体" w:hAnsi="宋体" w:cs="宋体"/>
          <w:b/>
          <w:bCs/>
          <w:sz w:val="32"/>
          <w:szCs w:val="32"/>
        </w:rPr>
      </w:pPr>
    </w:p>
    <w:p w14:paraId="6493F9B9">
      <w:pPr>
        <w:spacing w:beforeLines="50" w:afterLines="50"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三、技术和服务要求</w:t>
      </w:r>
    </w:p>
    <w:p w14:paraId="39473229">
      <w:pPr>
        <w:spacing w:beforeLines="50" w:afterLines="50" w:line="360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1．产品保修要求</w:t>
      </w:r>
    </w:p>
    <w:tbl>
      <w:tblPr>
        <w:tblStyle w:val="19"/>
        <w:tblW w:w="85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593"/>
        <w:gridCol w:w="2557"/>
        <w:gridCol w:w="1739"/>
      </w:tblGrid>
      <w:tr w14:paraId="5DE4E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2" w:type="dxa"/>
            <w:noWrap/>
            <w:vAlign w:val="center"/>
          </w:tcPr>
          <w:p w14:paraId="758178CB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产品分类</w:t>
            </w:r>
          </w:p>
        </w:tc>
        <w:tc>
          <w:tcPr>
            <w:tcW w:w="1593" w:type="dxa"/>
            <w:noWrap/>
            <w:vAlign w:val="center"/>
          </w:tcPr>
          <w:p w14:paraId="0EF4CDE0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服务周期</w:t>
            </w:r>
          </w:p>
        </w:tc>
        <w:tc>
          <w:tcPr>
            <w:tcW w:w="2557" w:type="dxa"/>
            <w:noWrap/>
            <w:vAlign w:val="center"/>
          </w:tcPr>
          <w:p w14:paraId="5E5C8D72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服务级别</w:t>
            </w:r>
          </w:p>
        </w:tc>
        <w:tc>
          <w:tcPr>
            <w:tcW w:w="1739" w:type="dxa"/>
            <w:vAlign w:val="center"/>
          </w:tcPr>
          <w:p w14:paraId="288514E0">
            <w:pPr>
              <w:spacing w:line="240" w:lineRule="atLeas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备注</w:t>
            </w:r>
          </w:p>
        </w:tc>
      </w:tr>
      <w:tr w14:paraId="4698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2662" w:type="dxa"/>
            <w:noWrap/>
            <w:vAlign w:val="center"/>
          </w:tcPr>
          <w:p w14:paraId="1D690ECE">
            <w:pPr>
              <w:spacing w:line="240" w:lineRule="atLeast"/>
              <w:ind w:left="6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项目中涉及全部硬件设备</w:t>
            </w:r>
          </w:p>
        </w:tc>
        <w:tc>
          <w:tcPr>
            <w:tcW w:w="1593" w:type="dxa"/>
            <w:noWrap/>
            <w:vAlign w:val="center"/>
          </w:tcPr>
          <w:p w14:paraId="7C17F615">
            <w:pPr>
              <w:pStyle w:val="12"/>
              <w:spacing w:line="240" w:lineRule="atLeas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原厂三年保修，涉及的安全相关设备提供三年软件及特征库免费升级服务，</w:t>
            </w:r>
            <w:r>
              <w:rPr>
                <w:rFonts w:hint="eastAsia"/>
              </w:rPr>
              <w:t>项目验收时提供原厂服务证明文件。</w:t>
            </w:r>
          </w:p>
        </w:tc>
        <w:tc>
          <w:tcPr>
            <w:tcW w:w="2557" w:type="dxa"/>
            <w:vMerge w:val="restart"/>
            <w:noWrap/>
            <w:vAlign w:val="center"/>
          </w:tcPr>
          <w:p w14:paraId="0D99C291">
            <w:pPr>
              <w:spacing w:line="240" w:lineRule="atLeast"/>
              <w:ind w:left="69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保修期内免费更换零配件，7×24小时技术响应，制造商接到报修后4小时内工程师上门服务。保修期内提供软件升级以及技术支持服务，2小时内提供电话或者邮件响应，8小时内提供解决方案。涉及的安全相关设备保修期内含半年1次的巡检及按照客户需求进行病毒库升级。</w:t>
            </w:r>
          </w:p>
        </w:tc>
        <w:tc>
          <w:tcPr>
            <w:tcW w:w="1739" w:type="dxa"/>
            <w:vMerge w:val="restart"/>
            <w:vAlign w:val="center"/>
          </w:tcPr>
          <w:p w14:paraId="3AE44230">
            <w:pPr>
              <w:spacing w:line="240" w:lineRule="atLeast"/>
              <w:ind w:left="63" w:leftChars="3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根据服务需要替换材料设备或配件的，被替换下来的材料设备或配件需经采购方、供应商协商处理。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保修期及维护期从项目验收</w:t>
            </w:r>
            <w:r>
              <w:rPr>
                <w:rFonts w:hint="eastAsia" w:ascii="宋体" w:hAnsi="宋体" w:cs="宋体"/>
                <w:b/>
                <w:bCs/>
                <w:color w:val="EE0000"/>
                <w:sz w:val="22"/>
                <w:szCs w:val="22"/>
              </w:rPr>
              <w:t>通过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日期开始计算。</w:t>
            </w:r>
          </w:p>
        </w:tc>
      </w:tr>
      <w:tr w14:paraId="4F932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662" w:type="dxa"/>
            <w:noWrap/>
            <w:vAlign w:val="center"/>
          </w:tcPr>
          <w:p w14:paraId="2BF87D6E">
            <w:pPr>
              <w:spacing w:line="240" w:lineRule="atLeast"/>
              <w:ind w:left="6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项目中涉及附属软件设备</w:t>
            </w:r>
          </w:p>
        </w:tc>
        <w:tc>
          <w:tcPr>
            <w:tcW w:w="1593" w:type="dxa"/>
            <w:noWrap/>
            <w:vAlign w:val="center"/>
          </w:tcPr>
          <w:p w14:paraId="78611CBA">
            <w:pPr>
              <w:spacing w:line="240" w:lineRule="atLeast"/>
              <w:ind w:left="63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</w:rPr>
              <w:t>项目包含的成品软件医院有永久使用授权，提供三年的原厂</w:t>
            </w:r>
            <w:r>
              <w:rPr>
                <w:rStyle w:val="24"/>
                <w:rFonts w:hint="eastAsia"/>
                <w:lang w:eastAsia="zh-CN"/>
              </w:rPr>
              <w:t>（</w:t>
            </w:r>
            <w:r>
              <w:rPr>
                <w:rStyle w:val="24"/>
                <w:rFonts w:hint="eastAsia"/>
                <w:lang w:val="en-US" w:eastAsia="zh-CN"/>
              </w:rPr>
              <w:t>拥有自主知识产权，非代理</w:t>
            </w:r>
            <w:r>
              <w:rPr>
                <w:rStyle w:val="24"/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维护服务和服务证明文件。</w:t>
            </w:r>
          </w:p>
        </w:tc>
        <w:tc>
          <w:tcPr>
            <w:tcW w:w="2557" w:type="dxa"/>
            <w:vMerge w:val="continue"/>
            <w:noWrap/>
            <w:vAlign w:val="center"/>
          </w:tcPr>
          <w:p w14:paraId="1714426B">
            <w:pPr>
              <w:spacing w:line="240" w:lineRule="atLeast"/>
              <w:ind w:left="704" w:hanging="420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739" w:type="dxa"/>
            <w:vMerge w:val="continue"/>
          </w:tcPr>
          <w:p w14:paraId="0A8C67CF">
            <w:pPr>
              <w:spacing w:line="240" w:lineRule="atLeast"/>
              <w:ind w:left="704" w:hanging="420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0756F059">
      <w:pPr>
        <w:spacing w:beforeLines="50" w:afterLines="50" w:line="360" w:lineRule="auto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2.</w:t>
      </w:r>
      <w:r>
        <w:rPr>
          <w:rFonts w:hint="eastAsia" w:ascii="宋体" w:hAnsi="宋体" w:cs="宋体"/>
          <w:sz w:val="22"/>
          <w:szCs w:val="22"/>
        </w:rPr>
        <w:tab/>
      </w:r>
      <w:r>
        <w:rPr>
          <w:rFonts w:hint="eastAsia" w:ascii="宋体" w:hAnsi="宋体" w:cs="宋体"/>
          <w:sz w:val="22"/>
          <w:szCs w:val="22"/>
        </w:rPr>
        <w:t>对采购方的技术人员、操作人员、维修人员进行产品及系统操作、系统管理维护、常用技术知识进行免费技术培训，使培训的操作人员按操作规程能够独立操作，培训人数按照采购人需求而定。</w:t>
      </w:r>
    </w:p>
    <w:p w14:paraId="1406CF18">
      <w:pPr>
        <w:spacing w:beforeLines="50" w:afterLines="50" w:line="360" w:lineRule="auto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22"/>
          <w:szCs w:val="22"/>
        </w:rPr>
        <w:t>3.</w:t>
      </w:r>
      <w:r>
        <w:rPr>
          <w:rFonts w:hint="eastAsia" w:ascii="宋体" w:hAnsi="宋体" w:cs="宋体"/>
          <w:sz w:val="22"/>
          <w:szCs w:val="22"/>
        </w:rPr>
        <w:tab/>
      </w:r>
      <w:r>
        <w:rPr>
          <w:rFonts w:hint="eastAsia" w:ascii="宋体" w:hAnsi="宋体" w:cs="宋体"/>
          <w:sz w:val="22"/>
          <w:szCs w:val="22"/>
        </w:rPr>
        <w:t>须配合采购方完成等级保护测评、商用密码测评等工作。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24183"/>
      <w:docPartObj>
        <w:docPartGallery w:val="autotext"/>
      </w:docPartObj>
    </w:sdtPr>
    <w:sdtContent>
      <w:p w14:paraId="21948420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B45EC4"/>
    <w:multiLevelType w:val="singleLevel"/>
    <w:tmpl w:val="6EB45EC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2F3FA3"/>
    <w:rsid w:val="00056798"/>
    <w:rsid w:val="00074C06"/>
    <w:rsid w:val="00086BE8"/>
    <w:rsid w:val="00087037"/>
    <w:rsid w:val="000B5699"/>
    <w:rsid w:val="001426E8"/>
    <w:rsid w:val="0017515E"/>
    <w:rsid w:val="00200DDE"/>
    <w:rsid w:val="00227CD4"/>
    <w:rsid w:val="00263627"/>
    <w:rsid w:val="00290184"/>
    <w:rsid w:val="00291686"/>
    <w:rsid w:val="002A4F30"/>
    <w:rsid w:val="002E2C7E"/>
    <w:rsid w:val="002E71DF"/>
    <w:rsid w:val="002F3FA3"/>
    <w:rsid w:val="002F6AE0"/>
    <w:rsid w:val="00330F90"/>
    <w:rsid w:val="003B5260"/>
    <w:rsid w:val="003D19CD"/>
    <w:rsid w:val="003E5610"/>
    <w:rsid w:val="0042242C"/>
    <w:rsid w:val="00453495"/>
    <w:rsid w:val="0046675F"/>
    <w:rsid w:val="00497364"/>
    <w:rsid w:val="00524D51"/>
    <w:rsid w:val="005658BE"/>
    <w:rsid w:val="005E6134"/>
    <w:rsid w:val="005F2D43"/>
    <w:rsid w:val="005F7254"/>
    <w:rsid w:val="006403B4"/>
    <w:rsid w:val="0066275D"/>
    <w:rsid w:val="006A40D0"/>
    <w:rsid w:val="006C283D"/>
    <w:rsid w:val="00791D35"/>
    <w:rsid w:val="007A3C6E"/>
    <w:rsid w:val="007C6E54"/>
    <w:rsid w:val="007D024B"/>
    <w:rsid w:val="007D7AFA"/>
    <w:rsid w:val="0083010D"/>
    <w:rsid w:val="00851AFF"/>
    <w:rsid w:val="00875E18"/>
    <w:rsid w:val="008A060B"/>
    <w:rsid w:val="00900703"/>
    <w:rsid w:val="009274CE"/>
    <w:rsid w:val="00956608"/>
    <w:rsid w:val="00965885"/>
    <w:rsid w:val="00A1279E"/>
    <w:rsid w:val="00A55F79"/>
    <w:rsid w:val="00A562E3"/>
    <w:rsid w:val="00A60296"/>
    <w:rsid w:val="00A74606"/>
    <w:rsid w:val="00A7690E"/>
    <w:rsid w:val="00A77E93"/>
    <w:rsid w:val="00AB274E"/>
    <w:rsid w:val="00B531B0"/>
    <w:rsid w:val="00B80C3F"/>
    <w:rsid w:val="00C95DBB"/>
    <w:rsid w:val="00CB0006"/>
    <w:rsid w:val="00CC13D0"/>
    <w:rsid w:val="00D25AC5"/>
    <w:rsid w:val="00D26C85"/>
    <w:rsid w:val="00D2711D"/>
    <w:rsid w:val="00D4558C"/>
    <w:rsid w:val="00D9489A"/>
    <w:rsid w:val="00D9752D"/>
    <w:rsid w:val="00DC0B02"/>
    <w:rsid w:val="00DE7B70"/>
    <w:rsid w:val="00E15426"/>
    <w:rsid w:val="00E529BD"/>
    <w:rsid w:val="00E677F9"/>
    <w:rsid w:val="00EA3A8E"/>
    <w:rsid w:val="00ED7190"/>
    <w:rsid w:val="00EE11B2"/>
    <w:rsid w:val="00F1225D"/>
    <w:rsid w:val="00F973EF"/>
    <w:rsid w:val="00FC7E59"/>
    <w:rsid w:val="02BD5D0D"/>
    <w:rsid w:val="06027EC4"/>
    <w:rsid w:val="08407193"/>
    <w:rsid w:val="0B7FD193"/>
    <w:rsid w:val="0C3D5DF3"/>
    <w:rsid w:val="11B5713C"/>
    <w:rsid w:val="14F72043"/>
    <w:rsid w:val="1CFD7B3A"/>
    <w:rsid w:val="1F5DB0B8"/>
    <w:rsid w:val="215A77AA"/>
    <w:rsid w:val="233F7861"/>
    <w:rsid w:val="244A4574"/>
    <w:rsid w:val="25DB57AC"/>
    <w:rsid w:val="27DEA789"/>
    <w:rsid w:val="2B5A16B4"/>
    <w:rsid w:val="33167E3E"/>
    <w:rsid w:val="34432D2B"/>
    <w:rsid w:val="36674B91"/>
    <w:rsid w:val="478665E8"/>
    <w:rsid w:val="53FDD0AA"/>
    <w:rsid w:val="560D20E6"/>
    <w:rsid w:val="58514C77"/>
    <w:rsid w:val="5B3BFDAB"/>
    <w:rsid w:val="5BB78812"/>
    <w:rsid w:val="5BDF8E2C"/>
    <w:rsid w:val="5CEF6B88"/>
    <w:rsid w:val="5D7A2D6D"/>
    <w:rsid w:val="5DFB0DD6"/>
    <w:rsid w:val="5FFFE507"/>
    <w:rsid w:val="612400C6"/>
    <w:rsid w:val="634D7441"/>
    <w:rsid w:val="6517EB50"/>
    <w:rsid w:val="66B50A55"/>
    <w:rsid w:val="6BAF2C82"/>
    <w:rsid w:val="6E9047F2"/>
    <w:rsid w:val="6FA495B4"/>
    <w:rsid w:val="6FF97F85"/>
    <w:rsid w:val="701F03D6"/>
    <w:rsid w:val="7A747C73"/>
    <w:rsid w:val="7AFCE0FA"/>
    <w:rsid w:val="7BFEEC05"/>
    <w:rsid w:val="7DE76EB2"/>
    <w:rsid w:val="7E1FDEB4"/>
    <w:rsid w:val="7EBB9CFA"/>
    <w:rsid w:val="7EFF1EF7"/>
    <w:rsid w:val="7F4334D7"/>
    <w:rsid w:val="7F7E5F61"/>
    <w:rsid w:val="7F9F53CC"/>
    <w:rsid w:val="7FE4BD1B"/>
    <w:rsid w:val="7FFB6DE7"/>
    <w:rsid w:val="952ACABA"/>
    <w:rsid w:val="9DFF60B3"/>
    <w:rsid w:val="ADEF4F7D"/>
    <w:rsid w:val="AF3D0955"/>
    <w:rsid w:val="B55937E5"/>
    <w:rsid w:val="B5FF8304"/>
    <w:rsid w:val="BE584221"/>
    <w:rsid w:val="BF7EEEE7"/>
    <w:rsid w:val="CEFF481D"/>
    <w:rsid w:val="D35C7EBC"/>
    <w:rsid w:val="DEBDA5CE"/>
    <w:rsid w:val="E73B70FB"/>
    <w:rsid w:val="EEBB646E"/>
    <w:rsid w:val="EEFFE0F3"/>
    <w:rsid w:val="EFE5C50F"/>
    <w:rsid w:val="F0FF8E64"/>
    <w:rsid w:val="F6793778"/>
    <w:rsid w:val="F77FA798"/>
    <w:rsid w:val="F87FA1A2"/>
    <w:rsid w:val="F9939EF9"/>
    <w:rsid w:val="FBEF322F"/>
    <w:rsid w:val="FC56C7E1"/>
    <w:rsid w:val="FDF797C0"/>
    <w:rsid w:val="FDF97D59"/>
    <w:rsid w:val="FDFDA8ED"/>
    <w:rsid w:val="FDFF8139"/>
    <w:rsid w:val="FEF3DB69"/>
    <w:rsid w:val="FEF55A84"/>
    <w:rsid w:val="FF77804F"/>
    <w:rsid w:val="FF7DC662"/>
    <w:rsid w:val="FF7E0C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4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5">
    <w:name w:val="heading 3"/>
    <w:basedOn w:val="1"/>
    <w:next w:val="1"/>
    <w:link w:val="2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">
    <w:name w:val="heading 4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7">
    <w:name w:val="heading 5"/>
    <w:basedOn w:val="1"/>
    <w:next w:val="1"/>
    <w:link w:val="3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8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9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10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1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5"/>
    <w:unhideWhenUsed/>
    <w:qFormat/>
    <w:uiPriority w:val="99"/>
    <w:pPr>
      <w:spacing w:after="120"/>
    </w:pPr>
  </w:style>
  <w:style w:type="paragraph" w:styleId="12">
    <w:name w:val="annotation text"/>
    <w:basedOn w:val="1"/>
    <w:link w:val="73"/>
    <w:unhideWhenUsed/>
    <w:uiPriority w:val="99"/>
    <w:pPr>
      <w:jc w:val="left"/>
    </w:pPr>
  </w:style>
  <w:style w:type="paragraph" w:styleId="13">
    <w:name w:val="Balloon Text"/>
    <w:basedOn w:val="1"/>
    <w:link w:val="78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7">
    <w:name w:val="Title"/>
    <w:basedOn w:val="1"/>
    <w:next w:val="1"/>
    <w:link w:val="3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2"/>
    <w:next w:val="12"/>
    <w:link w:val="74"/>
    <w:semiHidden/>
    <w:unhideWhenUsed/>
    <w:qFormat/>
    <w:uiPriority w:val="99"/>
    <w:rPr>
      <w:b/>
      <w:bCs/>
    </w:rPr>
  </w:style>
  <w:style w:type="table" w:styleId="20">
    <w:name w:val="Table Grid"/>
    <w:basedOn w:val="1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FollowedHyperlink"/>
    <w:basedOn w:val="21"/>
    <w:semiHidden/>
    <w:unhideWhenUsed/>
    <w:qFormat/>
    <w:uiPriority w:val="99"/>
    <w:rPr>
      <w:color w:val="800080"/>
      <w:u w:val="single"/>
    </w:rPr>
  </w:style>
  <w:style w:type="character" w:styleId="23">
    <w:name w:val="Hyperlink"/>
    <w:basedOn w:val="21"/>
    <w:semiHidden/>
    <w:unhideWhenUsed/>
    <w:uiPriority w:val="99"/>
    <w:rPr>
      <w:color w:val="0000FF"/>
      <w:u w:val="single"/>
    </w:rPr>
  </w:style>
  <w:style w:type="character" w:styleId="24">
    <w:name w:val="annotation reference"/>
    <w:basedOn w:val="21"/>
    <w:semiHidden/>
    <w:unhideWhenUsed/>
    <w:uiPriority w:val="99"/>
    <w:rPr>
      <w:sz w:val="21"/>
      <w:szCs w:val="21"/>
    </w:rPr>
  </w:style>
  <w:style w:type="character" w:customStyle="1" w:styleId="25">
    <w:name w:val="正文文本 Char"/>
    <w:basedOn w:val="21"/>
    <w:link w:val="2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6">
    <w:name w:val="标题 1 Char"/>
    <w:basedOn w:val="21"/>
    <w:link w:val="3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27">
    <w:name w:val="标题 2 Char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28">
    <w:name w:val="标题 3 Char"/>
    <w:basedOn w:val="21"/>
    <w:link w:val="5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9">
    <w:name w:val="标题 4 Char"/>
    <w:basedOn w:val="21"/>
    <w:link w:val="6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30">
    <w:name w:val="标题 5 Char"/>
    <w:basedOn w:val="21"/>
    <w:link w:val="7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31">
    <w:name w:val="标题 6 Char"/>
    <w:basedOn w:val="21"/>
    <w:link w:val="8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32">
    <w:name w:val="标题 7 Char"/>
    <w:basedOn w:val="21"/>
    <w:link w:val="9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33">
    <w:name w:val="标题 8 Char"/>
    <w:basedOn w:val="21"/>
    <w:link w:val="10"/>
    <w:semiHidden/>
    <w:qFormat/>
    <w:uiPriority w:val="9"/>
    <w:rPr>
      <w:rFonts w:cstheme="majorBidi"/>
      <w:color w:val="585858" w:themeColor="text1" w:themeTint="A6"/>
    </w:rPr>
  </w:style>
  <w:style w:type="character" w:customStyle="1" w:styleId="34">
    <w:name w:val="标题 9 Char"/>
    <w:basedOn w:val="21"/>
    <w:link w:val="11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35">
    <w:name w:val="页脚 Char"/>
    <w:basedOn w:val="21"/>
    <w:link w:val="14"/>
    <w:qFormat/>
    <w:uiPriority w:val="99"/>
    <w:rPr>
      <w:sz w:val="18"/>
      <w:szCs w:val="18"/>
    </w:rPr>
  </w:style>
  <w:style w:type="character" w:customStyle="1" w:styleId="36">
    <w:name w:val="页眉 Char"/>
    <w:basedOn w:val="21"/>
    <w:link w:val="15"/>
    <w:qFormat/>
    <w:uiPriority w:val="99"/>
    <w:rPr>
      <w:sz w:val="18"/>
      <w:szCs w:val="18"/>
    </w:rPr>
  </w:style>
  <w:style w:type="character" w:customStyle="1" w:styleId="37">
    <w:name w:val="副标题 Char"/>
    <w:basedOn w:val="21"/>
    <w:link w:val="16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character" w:customStyle="1" w:styleId="38">
    <w:name w:val="标题 Char"/>
    <w:basedOn w:val="2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9">
    <w:name w:val="Quote"/>
    <w:basedOn w:val="1"/>
    <w:next w:val="1"/>
    <w:link w:val="40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40">
    <w:name w:val="引用 Char"/>
    <w:basedOn w:val="21"/>
    <w:link w:val="39"/>
    <w:qFormat/>
    <w:uiPriority w:val="29"/>
    <w:rPr>
      <w:i/>
      <w:iCs/>
      <w:color w:val="3F3F3F" w:themeColor="text1" w:themeTint="BF"/>
    </w:rPr>
  </w:style>
  <w:style w:type="paragraph" w:styleId="41">
    <w:name w:val="List Paragraph"/>
    <w:basedOn w:val="1"/>
    <w:qFormat/>
    <w:uiPriority w:val="99"/>
    <w:pPr>
      <w:ind w:left="720"/>
      <w:contextualSpacing/>
    </w:pPr>
  </w:style>
  <w:style w:type="character" w:customStyle="1" w:styleId="42">
    <w:name w:val="明显强调1"/>
    <w:basedOn w:val="21"/>
    <w:qFormat/>
    <w:uiPriority w:val="21"/>
    <w:rPr>
      <w:i/>
      <w:iCs/>
      <w:color w:val="2F5496" w:themeColor="accent1" w:themeShade="BF"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44">
    <w:name w:val="明显引用 Char"/>
    <w:basedOn w:val="21"/>
    <w:link w:val="43"/>
    <w:qFormat/>
    <w:uiPriority w:val="30"/>
    <w:rPr>
      <w:i/>
      <w:iCs/>
      <w:color w:val="2F5496" w:themeColor="accent1" w:themeShade="BF"/>
    </w:rPr>
  </w:style>
  <w:style w:type="character" w:customStyle="1" w:styleId="45">
    <w:name w:val="明显参考1"/>
    <w:basedOn w:val="21"/>
    <w:qFormat/>
    <w:uiPriority w:val="32"/>
    <w:rPr>
      <w:b/>
      <w:bCs/>
      <w:smallCaps/>
      <w:color w:val="2F5496" w:themeColor="accent1" w:themeShade="BF"/>
      <w:spacing w:val="5"/>
    </w:rPr>
  </w:style>
  <w:style w:type="paragraph" w:customStyle="1" w:styleId="46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4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49">
    <w:name w:val="xl68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0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1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2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4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6"/>
      <w:szCs w:val="16"/>
    </w:rPr>
  </w:style>
  <w:style w:type="paragraph" w:customStyle="1" w:styleId="5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5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5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1">
    <w:name w:val="xl80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6"/>
      <w:szCs w:val="16"/>
    </w:rPr>
  </w:style>
  <w:style w:type="paragraph" w:customStyle="1" w:styleId="6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66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6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cs="宋体"/>
      <w:kern w:val="0"/>
      <w:sz w:val="16"/>
      <w:szCs w:val="16"/>
    </w:rPr>
  </w:style>
  <w:style w:type="paragraph" w:customStyle="1" w:styleId="69">
    <w:name w:val="xl8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70">
    <w:name w:val="xl89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71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72">
    <w:name w:val="xl9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character" w:customStyle="1" w:styleId="73">
    <w:name w:val="批注文字 Char"/>
    <w:basedOn w:val="21"/>
    <w:link w:val="12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74">
    <w:name w:val="批注主题 Char"/>
    <w:basedOn w:val="73"/>
    <w:link w:val="18"/>
    <w:semiHidden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75">
    <w:name w:val="修订1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6">
    <w:name w:val="font61"/>
    <w:basedOn w:val="2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7">
    <w:name w:val="font01"/>
    <w:basedOn w:val="2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8">
    <w:name w:val="批注框文本 Char"/>
    <w:basedOn w:val="21"/>
    <w:link w:val="1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1346</Words>
  <Characters>1373</Characters>
  <Lines>14</Lines>
  <Paragraphs>4</Paragraphs>
  <TotalTime>71</TotalTime>
  <ScaleCrop>false</ScaleCrop>
  <LinksUpToDate>false</LinksUpToDate>
  <CharactersWithSpaces>1394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2025-07-17T18:23:00Z</dcterms:created>
  <dc:creator>公建 崔</dc:creator>
  <cp:lastModifiedBy>张骏</cp:lastModifiedBy>
  <dcterms:modified xsi:type="dcterms:W3CDTF">2025-10-14T01:44:11Z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eyJoZGlkIjoiMzY4MDIwMzRkY2MxOWVkMzhjOTMwYWMwMjVmNTM5MDgiLCJ1c2VySWQiOiIxMDU3NjIyNDMzIn0=</vt:lpwstr>
  </property>
  <property fmtid="{D5CDD505-2E9C-101B-9397-08002B2CF9AE}" pid="3" name="KSOProductBuildVer">
    <vt:lpwstr>2052-12.1.0.22529</vt:lpwstr>
  </property>
  <property fmtid="{D5CDD505-2E9C-101B-9397-08002B2CF9AE}" pid="4" name="ICV">
    <vt:lpwstr>1871FA80EB7E4BCCBA7F8518A2CD869D_13</vt:lpwstr>
  </property>
</Properties>
</file>